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7173D" w14:textId="7485041F" w:rsidR="001464D6" w:rsidRDefault="001464D6" w:rsidP="00B91F44">
      <w:pPr>
        <w:spacing w:after="0"/>
        <w:jc w:val="center"/>
        <w:rPr>
          <w:rFonts w:ascii="Verdana" w:hAnsi="Verdana" w:cs="Helvetica-Light"/>
          <w:b/>
          <w:bCs/>
          <w:kern w:val="0"/>
        </w:rPr>
      </w:pPr>
      <w:r>
        <w:rPr>
          <w:rFonts w:ascii="Verdana" w:hAnsi="Verdana" w:cs="Helvetica-Light"/>
          <w:b/>
          <w:bCs/>
          <w:kern w:val="0"/>
        </w:rPr>
        <w:t>RESOLUCIÓN NÚMER</w:t>
      </w:r>
      <w:r w:rsidRPr="003C0F23">
        <w:rPr>
          <w:rFonts w:ascii="Verdana" w:hAnsi="Verdana" w:cs="Helvetica-Light"/>
          <w:b/>
          <w:bCs/>
          <w:kern w:val="0"/>
        </w:rPr>
        <w:t>O____</w:t>
      </w:r>
      <w:r w:rsidR="00B737E5" w:rsidRPr="003C0F23">
        <w:rPr>
          <w:rFonts w:ascii="Verdana" w:hAnsi="Verdana" w:cs="Helvetica-Light"/>
          <w:b/>
          <w:bCs/>
          <w:kern w:val="0"/>
        </w:rPr>
        <w:t>___</w:t>
      </w:r>
      <w:r w:rsidR="003C0F23" w:rsidRPr="003C0F23">
        <w:rPr>
          <w:rFonts w:ascii="Verdana" w:hAnsi="Verdana" w:cs="Helvetica-Light"/>
          <w:b/>
          <w:bCs/>
          <w:kern w:val="0"/>
        </w:rPr>
        <w:t>_</w:t>
      </w:r>
      <w:r w:rsidR="00B737E5" w:rsidRPr="003C0F23">
        <w:rPr>
          <w:rFonts w:ascii="Verdana" w:hAnsi="Verdana" w:cs="Helvetica-Light"/>
          <w:b/>
          <w:bCs/>
          <w:kern w:val="0"/>
        </w:rPr>
        <w:t>__</w:t>
      </w:r>
      <w:r w:rsidR="00FF5571" w:rsidRPr="003C0F23">
        <w:rPr>
          <w:rFonts w:ascii="Verdana" w:hAnsi="Verdana" w:cs="Helvetica-Light"/>
          <w:b/>
          <w:bCs/>
          <w:kern w:val="0"/>
        </w:rPr>
        <w:t>_______</w:t>
      </w:r>
      <w:r w:rsidRPr="003C0F23">
        <w:rPr>
          <w:rFonts w:ascii="Verdana" w:hAnsi="Verdana" w:cs="Helvetica-Light"/>
          <w:b/>
          <w:bCs/>
          <w:kern w:val="0"/>
        </w:rPr>
        <w:t>___DE____</w:t>
      </w:r>
      <w:r w:rsidR="00B737E5" w:rsidRPr="003C0F23">
        <w:rPr>
          <w:rFonts w:ascii="Verdana" w:hAnsi="Verdana" w:cs="Helvetica-Light"/>
          <w:b/>
          <w:bCs/>
          <w:kern w:val="0"/>
        </w:rPr>
        <w:t>___</w:t>
      </w:r>
      <w:r w:rsidRPr="003C0F23">
        <w:rPr>
          <w:rFonts w:ascii="Verdana" w:hAnsi="Verdana" w:cs="Helvetica-Light"/>
          <w:b/>
          <w:bCs/>
          <w:kern w:val="0"/>
        </w:rPr>
        <w:t>__</w:t>
      </w:r>
      <w:r w:rsidR="00FF5571" w:rsidRPr="003C0F23">
        <w:rPr>
          <w:rFonts w:ascii="Verdana" w:hAnsi="Verdana" w:cs="Helvetica-Light"/>
          <w:b/>
          <w:bCs/>
          <w:kern w:val="0"/>
        </w:rPr>
        <w:t>_____</w:t>
      </w:r>
      <w:r w:rsidRPr="003C0F23">
        <w:rPr>
          <w:rFonts w:ascii="Verdana" w:hAnsi="Verdana" w:cs="Helvetica-Light"/>
          <w:b/>
          <w:bCs/>
          <w:kern w:val="0"/>
        </w:rPr>
        <w:t>__</w:t>
      </w:r>
    </w:p>
    <w:p w14:paraId="1D420F9B" w14:textId="77777777" w:rsidR="00C574F5" w:rsidRPr="008119D3" w:rsidRDefault="00C574F5" w:rsidP="00B91F44">
      <w:pPr>
        <w:pStyle w:val="Sinespaciado"/>
        <w:spacing w:line="276" w:lineRule="auto"/>
        <w:rPr>
          <w:rFonts w:ascii="Arial" w:hAnsi="Arial" w:cs="Arial"/>
          <w:b/>
          <w:bCs/>
          <w:color w:val="000000" w:themeColor="text1"/>
          <w:sz w:val="24"/>
          <w:szCs w:val="24"/>
        </w:rPr>
      </w:pPr>
      <w:r w:rsidRPr="008119D3">
        <w:rPr>
          <w:rFonts w:ascii="Arial" w:hAnsi="Arial" w:cs="Arial"/>
          <w:b/>
          <w:bCs/>
          <w:color w:val="000000" w:themeColor="text1"/>
          <w:sz w:val="24"/>
          <w:szCs w:val="24"/>
        </w:rPr>
        <w:t xml:space="preserve">  </w:t>
      </w:r>
    </w:p>
    <w:p w14:paraId="0A5D667C" w14:textId="2E2C7ED2" w:rsidR="00C574F5" w:rsidRPr="00833CE4" w:rsidRDefault="00C574F5" w:rsidP="007A470D">
      <w:pPr>
        <w:jc w:val="center"/>
        <w:rPr>
          <w:rFonts w:ascii="Verdana" w:eastAsia="Verdana" w:hAnsi="Verdana" w:cs="Verdana"/>
          <w:i/>
          <w:iCs/>
        </w:rPr>
      </w:pPr>
      <w:r w:rsidRPr="00833CE4">
        <w:rPr>
          <w:rFonts w:ascii="Verdana" w:eastAsia="Verdana" w:hAnsi="Verdana" w:cs="Verdana"/>
          <w:i/>
          <w:iCs/>
        </w:rPr>
        <w:t>“</w:t>
      </w:r>
      <w:r w:rsidR="00294B16" w:rsidRPr="00294B16">
        <w:rPr>
          <w:rFonts w:ascii="Verdana" w:eastAsia="Verdana" w:hAnsi="Verdana" w:cs="Verdana"/>
          <w:i/>
          <w:iCs/>
        </w:rPr>
        <w:t>Por medio de la cual se modifica la Resolución 0221 de 2025 corregida por la Resolución 0239 de 2025 en el sentido de actualizar el área geográfica efectiva y precisar la cartografía de la Zona de Reserva de Recursos</w:t>
      </w:r>
      <w:r w:rsidR="007A470D">
        <w:rPr>
          <w:rFonts w:ascii="Verdana" w:eastAsia="Verdana" w:hAnsi="Verdana" w:cs="Verdana"/>
          <w:i/>
          <w:iCs/>
        </w:rPr>
        <w:t xml:space="preserve"> Naturales Renovables, </w:t>
      </w:r>
      <w:r w:rsidR="00833CE4" w:rsidRPr="00833CE4">
        <w:rPr>
          <w:rFonts w:ascii="Verdana" w:eastAsia="Verdana" w:hAnsi="Verdana" w:cs="Verdana"/>
          <w:i/>
          <w:iCs/>
        </w:rPr>
        <w:t>se prorroga su vigencia y se dictan otras disposiciones</w:t>
      </w:r>
      <w:r w:rsidRPr="00833CE4">
        <w:rPr>
          <w:rFonts w:ascii="Verdana" w:eastAsia="Verdana" w:hAnsi="Verdana" w:cs="Verdana"/>
          <w:i/>
          <w:iCs/>
        </w:rPr>
        <w:t>”</w:t>
      </w:r>
    </w:p>
    <w:p w14:paraId="4F55949B" w14:textId="77777777" w:rsidR="00833CE4" w:rsidRDefault="00833CE4" w:rsidP="00833CE4">
      <w:pPr>
        <w:spacing w:after="0" w:line="240" w:lineRule="auto"/>
        <w:jc w:val="center"/>
        <w:rPr>
          <w:rFonts w:ascii="Verdana" w:eastAsia="Verdana" w:hAnsi="Verdana" w:cs="Verdana"/>
          <w:b/>
          <w:bCs/>
        </w:rPr>
      </w:pPr>
      <w:r w:rsidRPr="00833CE4">
        <w:rPr>
          <w:rFonts w:ascii="Verdana" w:eastAsia="Verdana" w:hAnsi="Verdana" w:cs="Verdana"/>
          <w:b/>
          <w:bCs/>
        </w:rPr>
        <w:t>LA MINISTRA DE AMBIENTE Y DESARROLLO SOSTENIBLE,</w:t>
      </w:r>
    </w:p>
    <w:p w14:paraId="67ADDC77" w14:textId="77777777" w:rsidR="00833CE4" w:rsidRPr="00833CE4" w:rsidRDefault="00833CE4" w:rsidP="00833CE4">
      <w:pPr>
        <w:spacing w:after="0" w:line="240" w:lineRule="auto"/>
        <w:jc w:val="center"/>
        <w:rPr>
          <w:rFonts w:ascii="Verdana" w:eastAsia="Verdana" w:hAnsi="Verdana" w:cs="Verdana"/>
          <w:b/>
          <w:bCs/>
        </w:rPr>
      </w:pPr>
    </w:p>
    <w:p w14:paraId="6FA8D352" w14:textId="55DCB87C" w:rsidR="00833CE4" w:rsidRDefault="007A470D" w:rsidP="00833CE4">
      <w:pPr>
        <w:spacing w:after="0" w:line="240" w:lineRule="auto"/>
        <w:jc w:val="center"/>
        <w:rPr>
          <w:rFonts w:ascii="Verdana" w:eastAsia="Verdana" w:hAnsi="Verdana" w:cs="Verdana"/>
          <w:b/>
          <w:bCs/>
        </w:rPr>
      </w:pPr>
      <w:r w:rsidRPr="007A470D">
        <w:rPr>
          <w:rFonts w:ascii="Verdana" w:eastAsia="Verdana" w:hAnsi="Verdana" w:cs="Verdana"/>
          <w:b/>
          <w:bCs/>
        </w:rPr>
        <w:t xml:space="preserve">En ejercicio de sus facultades constitucionales y legales, y en especial las conferidas en el artículo 5°, numerales 2, 5, 14, 19 y 24 de la Ley 99 de 1993, el artículo 2° del Decreto Ley 3570 de 2011, el parágrafo 1 del artículo 5 </w:t>
      </w:r>
      <w:r w:rsidR="00A94EE3">
        <w:rPr>
          <w:rFonts w:ascii="Verdana" w:eastAsia="Verdana" w:hAnsi="Verdana" w:cs="Verdana"/>
          <w:b/>
          <w:bCs/>
        </w:rPr>
        <w:t xml:space="preserve">y 8 </w:t>
      </w:r>
      <w:r w:rsidRPr="007A470D">
        <w:rPr>
          <w:rFonts w:ascii="Verdana" w:eastAsia="Verdana" w:hAnsi="Verdana" w:cs="Verdana"/>
          <w:b/>
          <w:bCs/>
        </w:rPr>
        <w:t>de la Resolución 0221 de 2025 y</w:t>
      </w:r>
    </w:p>
    <w:p w14:paraId="0831CD49" w14:textId="77777777" w:rsidR="007A470D" w:rsidRPr="00833CE4" w:rsidRDefault="007A470D" w:rsidP="00833CE4">
      <w:pPr>
        <w:spacing w:after="0" w:line="240" w:lineRule="auto"/>
        <w:jc w:val="center"/>
        <w:rPr>
          <w:rFonts w:ascii="Verdana" w:eastAsia="Verdana" w:hAnsi="Verdana" w:cs="Verdana"/>
          <w:b/>
          <w:bCs/>
        </w:rPr>
      </w:pPr>
    </w:p>
    <w:p w14:paraId="374A5397" w14:textId="77777777" w:rsidR="00833CE4" w:rsidRDefault="00833CE4" w:rsidP="00833CE4">
      <w:pPr>
        <w:spacing w:after="0" w:line="240" w:lineRule="auto"/>
        <w:jc w:val="center"/>
        <w:rPr>
          <w:rFonts w:ascii="Verdana" w:eastAsia="Verdana" w:hAnsi="Verdana" w:cs="Verdana"/>
          <w:b/>
          <w:bCs/>
        </w:rPr>
      </w:pPr>
      <w:r w:rsidRPr="00833CE4">
        <w:rPr>
          <w:rFonts w:ascii="Verdana" w:eastAsia="Verdana" w:hAnsi="Verdana" w:cs="Verdana"/>
          <w:b/>
          <w:bCs/>
        </w:rPr>
        <w:t>CONSIDERANDO:</w:t>
      </w:r>
    </w:p>
    <w:p w14:paraId="701A1731" w14:textId="77777777" w:rsidR="00833CE4" w:rsidRDefault="00833CE4" w:rsidP="00057F2C">
      <w:pPr>
        <w:spacing w:after="0" w:line="240" w:lineRule="auto"/>
        <w:rPr>
          <w:rFonts w:ascii="Verdana" w:eastAsia="Verdana" w:hAnsi="Verdana" w:cs="Verdana"/>
          <w:b/>
          <w:bCs/>
        </w:rPr>
      </w:pPr>
    </w:p>
    <w:p w14:paraId="360280E6" w14:textId="29143B17" w:rsidR="00057F2C" w:rsidRPr="006D5FCA" w:rsidRDefault="00057F2C" w:rsidP="006D5FCA">
      <w:pPr>
        <w:pStyle w:val="Prrafodelista"/>
        <w:numPr>
          <w:ilvl w:val="0"/>
          <w:numId w:val="19"/>
        </w:numPr>
        <w:spacing w:after="0"/>
        <w:rPr>
          <w:rFonts w:ascii="Verdana" w:eastAsia="Verdana" w:hAnsi="Verdana" w:cs="Verdana"/>
          <w:b/>
          <w:bCs/>
          <w:sz w:val="22"/>
          <w:szCs w:val="22"/>
        </w:rPr>
      </w:pPr>
      <w:r w:rsidRPr="006D5FCA">
        <w:rPr>
          <w:rFonts w:ascii="Verdana" w:eastAsia="Verdana" w:hAnsi="Verdana" w:cs="Verdana"/>
          <w:b/>
          <w:bCs/>
          <w:sz w:val="22"/>
          <w:szCs w:val="22"/>
        </w:rPr>
        <w:t>SOBRE LA ACTUALIZACIÓN DEL ÁREA GEOGRÁFICA EFECTIVA</w:t>
      </w:r>
    </w:p>
    <w:p w14:paraId="3D8D0E2B" w14:textId="77777777" w:rsidR="00C770FC" w:rsidRPr="00C770FC" w:rsidRDefault="00C770FC" w:rsidP="00833CE4">
      <w:pPr>
        <w:spacing w:after="0" w:line="240" w:lineRule="auto"/>
        <w:jc w:val="center"/>
        <w:rPr>
          <w:rFonts w:ascii="Verdana" w:eastAsia="Verdana" w:hAnsi="Verdana" w:cs="Verdana"/>
          <w:b/>
          <w:bCs/>
        </w:rPr>
      </w:pPr>
    </w:p>
    <w:p w14:paraId="2D437FA9" w14:textId="77777777" w:rsidR="00C770FC" w:rsidRPr="00C770FC" w:rsidRDefault="00C770FC" w:rsidP="00C770FC">
      <w:pPr>
        <w:spacing w:after="0" w:line="240" w:lineRule="auto"/>
        <w:jc w:val="both"/>
        <w:rPr>
          <w:rFonts w:ascii="Verdana" w:eastAsia="Arial" w:hAnsi="Verdana" w:cs="Arial"/>
          <w:kern w:val="0"/>
          <w:lang w:eastAsia="es-CO"/>
          <w14:ligatures w14:val="none"/>
        </w:rPr>
      </w:pPr>
      <w:r w:rsidRPr="00C770FC">
        <w:rPr>
          <w:rFonts w:ascii="Verdana" w:eastAsia="Arial" w:hAnsi="Verdana" w:cs="Arial"/>
          <w:kern w:val="0"/>
          <w:lang w:eastAsia="es-CO"/>
          <w14:ligatures w14:val="none"/>
        </w:rPr>
        <w:t>Que el Ministerio de Ambiente y Desarrollo Sostenible, expidió la Resolución 0221 del 3 de marzo de 2025, publicada en el Diario Oficial el 4 de marzo de 2025, “</w:t>
      </w:r>
      <w:r w:rsidRPr="00C770FC">
        <w:rPr>
          <w:rFonts w:ascii="Verdana" w:eastAsia="Arial" w:hAnsi="Verdana" w:cs="Arial"/>
          <w:i/>
          <w:iCs/>
          <w:kern w:val="0"/>
          <w:lang w:eastAsia="es-CO"/>
          <w14:ligatures w14:val="none"/>
        </w:rPr>
        <w:t>Por la cual se declara una Zona de Reserva de Recursos Naturales Renovables de carácter temporal en el costado occidental del macizo de Santurbán en jurisdicción de los municipios de Suratá, Matanza, California, Vetas, Charta, Tona y Bucaramanga del departamento de Santander y se toman otras determinaciones</w:t>
      </w:r>
      <w:r w:rsidRPr="00C770FC">
        <w:rPr>
          <w:rFonts w:ascii="Verdana" w:eastAsia="Arial" w:hAnsi="Verdana" w:cs="Arial"/>
          <w:kern w:val="0"/>
          <w:lang w:eastAsia="es-CO"/>
          <w14:ligatures w14:val="none"/>
        </w:rPr>
        <w:t>”.</w:t>
      </w:r>
    </w:p>
    <w:p w14:paraId="11854346" w14:textId="77777777" w:rsidR="00C770FC" w:rsidRPr="00C770FC" w:rsidRDefault="00C770FC" w:rsidP="00C770FC">
      <w:pPr>
        <w:spacing w:after="0" w:line="240" w:lineRule="auto"/>
        <w:jc w:val="both"/>
        <w:rPr>
          <w:rFonts w:ascii="Verdana" w:eastAsia="Arial" w:hAnsi="Verdana" w:cs="Arial"/>
          <w:kern w:val="0"/>
          <w:lang w:eastAsia="es-CO"/>
          <w14:ligatures w14:val="none"/>
        </w:rPr>
      </w:pPr>
    </w:p>
    <w:p w14:paraId="407295D8" w14:textId="77777777" w:rsidR="00C770FC" w:rsidRPr="00C770FC" w:rsidRDefault="00C770FC" w:rsidP="00C770FC">
      <w:pPr>
        <w:spacing w:after="0" w:line="240" w:lineRule="auto"/>
        <w:jc w:val="both"/>
        <w:rPr>
          <w:rFonts w:ascii="Verdana" w:eastAsia="Arial" w:hAnsi="Verdana" w:cs="Arial"/>
          <w:kern w:val="0"/>
          <w:lang w:eastAsia="es-CO"/>
          <w14:ligatures w14:val="none"/>
        </w:rPr>
      </w:pPr>
      <w:r w:rsidRPr="00C770FC">
        <w:rPr>
          <w:rFonts w:ascii="Verdana" w:eastAsia="Arial" w:hAnsi="Verdana" w:cs="Arial"/>
          <w:kern w:val="0"/>
          <w:lang w:eastAsia="es-CO"/>
          <w14:ligatures w14:val="none"/>
        </w:rPr>
        <w:t>Que mediante Resolución No. 0239 del 06 de marzo de 2025, publicada el 11 de marzo de 2025, el Ministerio de Ambiente y Desarrollo Sostenible resolvió corregir el artículo segundo de la Resolución No. 221 del 03 de marzo de 2025 en relación con el número de hectáreas objeto de reserva.</w:t>
      </w:r>
    </w:p>
    <w:p w14:paraId="06EB48E7" w14:textId="77777777" w:rsidR="00C770FC" w:rsidRPr="00C770FC" w:rsidRDefault="00C770FC" w:rsidP="00C770FC">
      <w:pPr>
        <w:spacing w:after="0" w:line="240" w:lineRule="auto"/>
        <w:jc w:val="both"/>
        <w:rPr>
          <w:rFonts w:ascii="Verdana" w:eastAsia="Arial" w:hAnsi="Verdana" w:cs="Arial"/>
          <w:kern w:val="0"/>
          <w:lang w:eastAsia="es-CO"/>
          <w14:ligatures w14:val="none"/>
        </w:rPr>
      </w:pPr>
    </w:p>
    <w:p w14:paraId="0B5879B2" w14:textId="77777777" w:rsidR="00C770FC" w:rsidRPr="00C770FC" w:rsidRDefault="00C770FC" w:rsidP="00C770FC">
      <w:pPr>
        <w:spacing w:after="0" w:line="240" w:lineRule="auto"/>
        <w:jc w:val="both"/>
        <w:rPr>
          <w:rFonts w:ascii="Verdana" w:eastAsia="Arial" w:hAnsi="Verdana" w:cs="Arial"/>
          <w:lang w:eastAsia="es-CO"/>
        </w:rPr>
      </w:pPr>
      <w:r w:rsidRPr="00C770FC">
        <w:rPr>
          <w:rFonts w:ascii="Verdana" w:eastAsia="Arial" w:hAnsi="Verdana" w:cs="Arial"/>
          <w:kern w:val="0"/>
          <w:lang w:eastAsia="es-CO"/>
          <w14:ligatures w14:val="none"/>
        </w:rPr>
        <w:t>Que el artículo 2 de la Resolución 0221 del 3 de marzo de 2025, corregido por la Resolución 0239 del 6 de marzo de 2025, estableció que e</w:t>
      </w:r>
      <w:r w:rsidRPr="00C770FC">
        <w:rPr>
          <w:rFonts w:ascii="Verdana" w:eastAsia="Arial" w:hAnsi="Verdana" w:cs="Arial"/>
          <w:lang w:eastAsia="es-CO"/>
        </w:rPr>
        <w:t xml:space="preserve">l área geográfica efectiva de la zona de reserva de recursos naturales renovables de carácter temporal es 75.344,65 hectáreas, establecida en el polígono definido mediante salida gráfica y el archivo </w:t>
      </w:r>
      <w:proofErr w:type="spellStart"/>
      <w:r w:rsidRPr="00C770FC">
        <w:rPr>
          <w:rFonts w:ascii="Verdana" w:eastAsia="Arial" w:hAnsi="Verdana" w:cs="Arial"/>
          <w:lang w:eastAsia="es-CO"/>
        </w:rPr>
        <w:t>shapefile</w:t>
      </w:r>
      <w:proofErr w:type="spellEnd"/>
      <w:r w:rsidRPr="00C770FC">
        <w:rPr>
          <w:rFonts w:ascii="Verdana" w:eastAsia="Arial" w:hAnsi="Verdana" w:cs="Arial"/>
          <w:lang w:eastAsia="es-CO"/>
        </w:rPr>
        <w:t xml:space="preserve">, contenidos en los Anexos 1 y 2 respectivamente, que hacen parte integral del mencionado acto administrativo. </w:t>
      </w:r>
    </w:p>
    <w:p w14:paraId="5C4168D8" w14:textId="77777777" w:rsidR="00C770FC" w:rsidRPr="00C770FC" w:rsidRDefault="00C770FC" w:rsidP="00C770FC">
      <w:pPr>
        <w:spacing w:after="0" w:line="240" w:lineRule="auto"/>
        <w:jc w:val="both"/>
        <w:rPr>
          <w:rFonts w:ascii="Verdana" w:eastAsia="Arial" w:hAnsi="Verdana" w:cs="Arial"/>
          <w:lang w:eastAsia="es-CO"/>
        </w:rPr>
      </w:pPr>
    </w:p>
    <w:p w14:paraId="546015BD" w14:textId="77777777" w:rsidR="00C770FC" w:rsidRPr="00C770FC" w:rsidRDefault="00C770FC" w:rsidP="00C770FC">
      <w:pPr>
        <w:spacing w:after="0" w:line="240" w:lineRule="auto"/>
        <w:jc w:val="both"/>
        <w:rPr>
          <w:rFonts w:ascii="Verdana" w:eastAsia="Arial" w:hAnsi="Verdana" w:cs="Arial"/>
          <w:lang w:eastAsia="es-CO"/>
        </w:rPr>
      </w:pPr>
      <w:r w:rsidRPr="00C770FC">
        <w:rPr>
          <w:rFonts w:ascii="Verdana" w:eastAsia="Arial" w:hAnsi="Verdana" w:cs="Arial"/>
          <w:lang w:eastAsia="es-CO"/>
        </w:rPr>
        <w:t xml:space="preserve">Que, a su vez, la Resolución </w:t>
      </w:r>
      <w:r w:rsidRPr="00C770FC">
        <w:rPr>
          <w:rFonts w:ascii="Verdana" w:eastAsia="Arial" w:hAnsi="Verdana" w:cs="Arial"/>
          <w:kern w:val="0"/>
          <w:lang w:eastAsia="es-CO"/>
          <w14:ligatures w14:val="none"/>
        </w:rPr>
        <w:t xml:space="preserve">0221 del 3 de marzo de 2025, en </w:t>
      </w:r>
      <w:r w:rsidRPr="00C770FC">
        <w:rPr>
          <w:rFonts w:ascii="Verdana" w:eastAsia="Arial" w:hAnsi="Verdana" w:cs="Arial"/>
          <w:lang w:eastAsia="es-CO"/>
        </w:rPr>
        <w:t xml:space="preserve">el artículo 5 estableció lo siguiente:  </w:t>
      </w:r>
    </w:p>
    <w:p w14:paraId="052EC363" w14:textId="77777777" w:rsidR="00C770FC" w:rsidRPr="00C770FC" w:rsidRDefault="00C770FC" w:rsidP="00C770FC">
      <w:pPr>
        <w:spacing w:after="0" w:line="240" w:lineRule="auto"/>
        <w:jc w:val="both"/>
        <w:rPr>
          <w:rFonts w:ascii="Verdana" w:eastAsia="Arial" w:hAnsi="Verdana" w:cs="Arial"/>
          <w:i/>
          <w:iCs/>
          <w:lang w:eastAsia="es-CO"/>
        </w:rPr>
      </w:pPr>
    </w:p>
    <w:p w14:paraId="6E0A6AA1" w14:textId="77777777" w:rsidR="00C770FC" w:rsidRPr="00C770FC" w:rsidRDefault="00C770FC" w:rsidP="00C36784">
      <w:pPr>
        <w:spacing w:after="0" w:line="240" w:lineRule="auto"/>
        <w:ind w:left="708"/>
        <w:jc w:val="both"/>
        <w:rPr>
          <w:rFonts w:ascii="Verdana" w:eastAsia="Arial" w:hAnsi="Verdana" w:cs="Arial"/>
          <w:i/>
          <w:iCs/>
          <w:kern w:val="0"/>
          <w:lang w:eastAsia="es-CO"/>
          <w14:ligatures w14:val="none"/>
        </w:rPr>
      </w:pPr>
      <w:r w:rsidRPr="00C770FC">
        <w:rPr>
          <w:rFonts w:ascii="Verdana" w:eastAsia="Arial" w:hAnsi="Verdana" w:cs="Arial"/>
          <w:b/>
          <w:bCs/>
          <w:i/>
          <w:iCs/>
        </w:rPr>
        <w:t>“Artículo 5. Procesos de formalización y legalización de actividades mineras:</w:t>
      </w:r>
      <w:r w:rsidRPr="00C770FC">
        <w:rPr>
          <w:rFonts w:ascii="Verdana" w:eastAsia="Arial" w:hAnsi="Verdana" w:cs="Arial"/>
          <w:b/>
          <w:bCs/>
        </w:rPr>
        <w:t xml:space="preserve"> </w:t>
      </w:r>
      <w:r w:rsidRPr="00C770FC">
        <w:rPr>
          <w:rFonts w:ascii="Verdana" w:eastAsia="Arial" w:hAnsi="Verdana" w:cs="Arial"/>
          <w:i/>
          <w:iCs/>
        </w:rPr>
        <w:t>A</w:t>
      </w:r>
      <w:r w:rsidRPr="00C770FC">
        <w:rPr>
          <w:rFonts w:ascii="Verdana" w:eastAsia="Arial" w:hAnsi="Verdana" w:cs="Arial"/>
          <w:i/>
          <w:iCs/>
          <w:kern w:val="0"/>
          <w:lang w:eastAsia="es-CO"/>
          <w14:ligatures w14:val="none"/>
        </w:rPr>
        <w:t xml:space="preserve"> efectos del control y manejo ambiental de las actividades mineras no regularizadas y conforme a la parte considerativa del presente acto, las áreas definidas en el Anexo 3 de esta resolución, que no hacen parte del área geográfica efectiva de la Zona de Reserva de Recursos Naturales Renovables, seguirán su curso ante las autoridades competentes, con el fin exclusivo de adelantar procesos de formalización y legalización para permitir el ejercicio de la actividad minera de proyectos de minería de pequeña escala, tradicional y realizada por mineros tradicionales o comunidades mineras tradicionales.</w:t>
      </w:r>
    </w:p>
    <w:p w14:paraId="20A98F23" w14:textId="77777777" w:rsidR="00C770FC" w:rsidRPr="00C770FC" w:rsidRDefault="00C770FC" w:rsidP="00C36784">
      <w:pPr>
        <w:spacing w:after="0" w:line="240" w:lineRule="auto"/>
        <w:ind w:left="708"/>
        <w:jc w:val="both"/>
        <w:rPr>
          <w:rFonts w:ascii="Verdana" w:eastAsia="Arial" w:hAnsi="Verdana" w:cs="Arial"/>
          <w:i/>
          <w:kern w:val="0"/>
          <w:lang w:eastAsia="es-CO"/>
          <w14:ligatures w14:val="none"/>
        </w:rPr>
      </w:pPr>
    </w:p>
    <w:p w14:paraId="23E4F3E1" w14:textId="77777777" w:rsidR="00C770FC" w:rsidRPr="00C770FC" w:rsidRDefault="00C770FC" w:rsidP="00C36784">
      <w:pPr>
        <w:spacing w:after="0" w:line="240" w:lineRule="auto"/>
        <w:ind w:left="708"/>
        <w:jc w:val="both"/>
        <w:rPr>
          <w:rFonts w:ascii="Verdana" w:eastAsia="Arial" w:hAnsi="Verdana" w:cs="Arial"/>
          <w:i/>
          <w:iCs/>
          <w:kern w:val="0"/>
          <w:lang w:eastAsia="es-CO"/>
          <w14:ligatures w14:val="none"/>
        </w:rPr>
      </w:pPr>
      <w:r w:rsidRPr="00C770FC">
        <w:rPr>
          <w:rFonts w:ascii="Verdana" w:eastAsia="Arial" w:hAnsi="Verdana" w:cs="Arial"/>
          <w:i/>
          <w:iCs/>
          <w:kern w:val="0"/>
          <w:lang w:eastAsia="es-CO"/>
          <w14:ligatures w14:val="none"/>
        </w:rPr>
        <w:t xml:space="preserve">Parágrafo 1. En caso de desistimiento, rechazo total o parcial, de las solicitudes y procesos de formalización y legalización a los que hace referencia este artículo, la Agencia Nacional de Minería informará al </w:t>
      </w:r>
      <w:r w:rsidRPr="00C770FC">
        <w:rPr>
          <w:rFonts w:ascii="Verdana" w:eastAsia="Arial" w:hAnsi="Verdana" w:cs="Arial"/>
          <w:i/>
          <w:iCs/>
          <w:kern w:val="0"/>
          <w:lang w:eastAsia="es-CO"/>
          <w14:ligatures w14:val="none"/>
        </w:rPr>
        <w:lastRenderedPageBreak/>
        <w:t>Ministerio de Ambiente y Desarrollo Sostenible con el fin de incorporar dichas áreas al área efectiva de la zona de reserva de recursos naturales renovables de carácter temporal y realizar la precisión cartográfica correspondiente.”</w:t>
      </w:r>
    </w:p>
    <w:p w14:paraId="216CC120" w14:textId="77777777" w:rsidR="00C770FC" w:rsidRPr="00C770FC" w:rsidRDefault="00C770FC" w:rsidP="00C770FC">
      <w:pPr>
        <w:spacing w:after="0" w:line="240" w:lineRule="auto"/>
        <w:jc w:val="both"/>
        <w:rPr>
          <w:rFonts w:ascii="Verdana" w:eastAsia="Arial" w:hAnsi="Verdana" w:cs="Arial"/>
          <w:lang w:eastAsia="es-CO"/>
        </w:rPr>
      </w:pPr>
    </w:p>
    <w:p w14:paraId="0C6F424F" w14:textId="136D0326" w:rsidR="00182B36" w:rsidRDefault="00464AA3" w:rsidP="00C770FC">
      <w:pPr>
        <w:spacing w:after="0" w:line="240" w:lineRule="auto"/>
        <w:jc w:val="both"/>
        <w:rPr>
          <w:rFonts w:ascii="Verdana" w:eastAsia="Arial" w:hAnsi="Verdana" w:cs="Arial"/>
          <w:lang w:eastAsia="es-CO"/>
        </w:rPr>
      </w:pPr>
      <w:r w:rsidRPr="00464AA3">
        <w:rPr>
          <w:rFonts w:ascii="Verdana" w:eastAsia="Arial" w:hAnsi="Verdana" w:cs="Arial"/>
          <w:lang w:eastAsia="es-CO"/>
        </w:rPr>
        <w:t>Que, de conformidad con el parágrafo 1 del artículo 5 de la Resolución 0221 de 2025, la Agencia Nacional de Minería –ANM–, mediante comunicación No. 20264210283681 del 9 de junio de 2026, radicada en este Ministerio bajo el No. 2026E1031066 del 11 de junio de 2026, informó la expedición de la Resolución VPF No. 2088 del 4 de junio de 2026, mediante la cual modificó la Resolución VPPF No. 058 del 23 de mayo de 2022 y declaró la terminación total de la Zona Reservada con Potencial –ZRP– Bloque No. 736, ubicada en jurisdicción de los municipios de California y Vetas, departamento de Santander. Dicha zona corresponde a uno de los polígonos incluidos en el Anexo 3 de la Resolución 0221 de 2025 y, por tanto, se encuentra comprendida en el supuesto previsto en el parágrafo 1 del artículo 5 del citado acto administrativo.</w:t>
      </w:r>
    </w:p>
    <w:p w14:paraId="25F52512" w14:textId="77777777" w:rsidR="00F63497" w:rsidRPr="00C770FC" w:rsidRDefault="00F63497" w:rsidP="00C770FC">
      <w:pPr>
        <w:spacing w:after="0" w:line="240" w:lineRule="auto"/>
        <w:jc w:val="both"/>
        <w:rPr>
          <w:rFonts w:ascii="Verdana" w:eastAsia="Arial" w:hAnsi="Verdana" w:cs="Arial"/>
          <w:lang w:eastAsia="es-CO"/>
        </w:rPr>
      </w:pPr>
    </w:p>
    <w:p w14:paraId="572D5907" w14:textId="3B94D9EB" w:rsidR="00C770FC" w:rsidRDefault="00D30FB2" w:rsidP="00C770FC">
      <w:pPr>
        <w:spacing w:after="0" w:line="240" w:lineRule="auto"/>
        <w:jc w:val="both"/>
        <w:rPr>
          <w:rFonts w:ascii="Verdana" w:eastAsia="Arial" w:hAnsi="Verdana" w:cs="Arial"/>
          <w:lang w:eastAsia="es-CO"/>
        </w:rPr>
      </w:pPr>
      <w:r w:rsidRPr="00D30FB2">
        <w:rPr>
          <w:rFonts w:ascii="Verdana" w:eastAsia="Arial" w:hAnsi="Verdana" w:cs="Arial"/>
          <w:lang w:eastAsia="es-CO"/>
        </w:rPr>
        <w:t>Que, en consecuencia, la Agencia Nacional de Minería solicitó al Ministerio de Ambiente y Desarrollo Sostenible adelantar las actuaciones necesarias para incorporar el polígono correspondiente a la Zona Reservada con Potencial –ZRP– Bloque No. 736 al área geográfica efectiva de la Zona de Reserva de Recursos Naturales Renovables de carácter temporal y efectuar la correspondiente actualización cartográfica.</w:t>
      </w:r>
    </w:p>
    <w:p w14:paraId="420B6250" w14:textId="77777777" w:rsidR="00D30FB2" w:rsidRPr="00C770FC" w:rsidRDefault="00D30FB2" w:rsidP="00C770FC">
      <w:pPr>
        <w:spacing w:after="0" w:line="240" w:lineRule="auto"/>
        <w:jc w:val="both"/>
        <w:rPr>
          <w:rFonts w:ascii="Verdana" w:eastAsia="Arial" w:hAnsi="Verdana" w:cs="Arial"/>
          <w:kern w:val="0"/>
          <w:lang w:eastAsia="es-CO"/>
          <w14:ligatures w14:val="none"/>
        </w:rPr>
      </w:pPr>
    </w:p>
    <w:p w14:paraId="01BD5875" w14:textId="75EBCB50" w:rsidR="00C770FC" w:rsidRDefault="00C770FC" w:rsidP="00C770FC">
      <w:pPr>
        <w:spacing w:after="0" w:line="240" w:lineRule="auto"/>
        <w:jc w:val="both"/>
        <w:rPr>
          <w:rFonts w:ascii="Verdana" w:eastAsia="Arial" w:hAnsi="Verdana" w:cs="Arial"/>
          <w:kern w:val="0"/>
          <w:lang w:eastAsia="es-CO"/>
          <w14:ligatures w14:val="none"/>
        </w:rPr>
      </w:pPr>
      <w:r w:rsidRPr="00D30FB2">
        <w:rPr>
          <w:rFonts w:ascii="Verdana" w:eastAsia="Arial" w:hAnsi="Verdana" w:cs="Arial"/>
          <w:kern w:val="0"/>
          <w:lang w:eastAsia="es-CO"/>
          <w14:ligatures w14:val="none"/>
        </w:rPr>
        <w:t>Que el Ministerio de Ambiente y Desarrollo Sostenible procedió a realizar el cotejo técnico de la información y solicitud presentada por la ANM, encontrando que la Zona Reservada con Potencial - ZRP Bloque No. 736, se localiza en jurisdicción</w:t>
      </w:r>
      <w:r w:rsidR="0098511C">
        <w:rPr>
          <w:rFonts w:ascii="Verdana" w:eastAsia="Arial" w:hAnsi="Verdana" w:cs="Arial"/>
          <w:kern w:val="0"/>
          <w:lang w:eastAsia="es-CO"/>
          <w14:ligatures w14:val="none"/>
        </w:rPr>
        <w:t xml:space="preserve"> </w:t>
      </w:r>
      <w:r w:rsidRPr="00D30FB2">
        <w:rPr>
          <w:rFonts w:ascii="Verdana" w:eastAsia="Arial" w:hAnsi="Verdana" w:cs="Arial"/>
          <w:kern w:val="0"/>
          <w:lang w:eastAsia="es-CO"/>
          <w14:ligatures w14:val="none"/>
        </w:rPr>
        <w:t>de los municipios de California y Vetas, departamento de Santander, abarca un área de 67.05</w:t>
      </w:r>
      <w:r w:rsidRPr="00D30FB2">
        <w:rPr>
          <w:rFonts w:ascii="Verdana" w:eastAsia="Arial" w:hAnsi="Verdana" w:cs="Arial"/>
          <w:lang w:eastAsia="es-CO"/>
        </w:rPr>
        <w:t xml:space="preserve">, y </w:t>
      </w:r>
      <w:r w:rsidRPr="00D30FB2">
        <w:rPr>
          <w:rFonts w:ascii="Verdana" w:eastAsia="Arial" w:hAnsi="Verdana" w:cs="Arial"/>
          <w:kern w:val="0"/>
          <w:lang w:eastAsia="es-CO"/>
          <w14:ligatures w14:val="none"/>
        </w:rPr>
        <w:t>corresponde a uno de los 13 polígonos incluidos en el Anexo 3 de la Resolución 0221</w:t>
      </w:r>
      <w:r w:rsidRPr="00C770FC">
        <w:rPr>
          <w:rFonts w:ascii="Verdana" w:eastAsia="Arial" w:hAnsi="Verdana" w:cs="Arial"/>
          <w:kern w:val="0"/>
          <w:lang w:eastAsia="es-CO"/>
          <w14:ligatures w14:val="none"/>
        </w:rPr>
        <w:t xml:space="preserve"> de 2025, motivo por el cual, no hace parte del área geográfica efectiva de la Zona de Reserva de Recursos Naturales Renovables, en concordancia con el artículo 5 de la mencionada Resolución, tal como se indica en la siguiente imagen:</w:t>
      </w:r>
    </w:p>
    <w:p w14:paraId="4505B921" w14:textId="77777777" w:rsidR="005A3926" w:rsidRDefault="005A3926" w:rsidP="00C770FC">
      <w:pPr>
        <w:spacing w:after="0" w:line="240" w:lineRule="auto"/>
        <w:jc w:val="both"/>
        <w:rPr>
          <w:rFonts w:ascii="Verdana" w:eastAsia="Arial" w:hAnsi="Verdana" w:cs="Arial"/>
          <w:kern w:val="0"/>
          <w:lang w:eastAsia="es-CO"/>
          <w14:ligatures w14:val="none"/>
        </w:rPr>
      </w:pPr>
    </w:p>
    <w:p w14:paraId="23A9F133" w14:textId="00C5270C" w:rsidR="00E81EE3" w:rsidRDefault="00E81EE3" w:rsidP="00C770FC">
      <w:pPr>
        <w:spacing w:after="0" w:line="240" w:lineRule="auto"/>
        <w:jc w:val="both"/>
        <w:rPr>
          <w:rFonts w:ascii="Verdana" w:eastAsia="Arial" w:hAnsi="Verdana" w:cs="Arial"/>
          <w:kern w:val="0"/>
          <w:lang w:eastAsia="es-CO"/>
          <w14:ligatures w14:val="none"/>
        </w:rPr>
      </w:pPr>
    </w:p>
    <w:p w14:paraId="37FB2874" w14:textId="238BD44B" w:rsidR="00D23B50" w:rsidRDefault="003C26C6" w:rsidP="003C26C6">
      <w:pPr>
        <w:spacing w:after="0" w:line="240" w:lineRule="auto"/>
        <w:jc w:val="center"/>
        <w:rPr>
          <w:rFonts w:ascii="Verdana" w:eastAsia="Arial" w:hAnsi="Verdana" w:cs="Arial"/>
          <w:kern w:val="0"/>
          <w:lang w:eastAsia="es-CO"/>
          <w14:ligatures w14:val="none"/>
        </w:rPr>
      </w:pPr>
      <w:r>
        <w:rPr>
          <w:rFonts w:ascii="Verdana" w:eastAsia="Arial" w:hAnsi="Verdana" w:cs="Arial"/>
          <w:noProof/>
          <w:kern w:val="0"/>
          <w:lang w:eastAsia="es-CO"/>
          <w14:ligatures w14:val="none"/>
        </w:rPr>
        <w:drawing>
          <wp:inline distT="0" distB="0" distL="0" distR="0" wp14:anchorId="27CFF0BE" wp14:editId="1283D478">
            <wp:extent cx="5940000" cy="3263875"/>
            <wp:effectExtent l="0" t="0" r="3810" b="0"/>
            <wp:docPr id="87495451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0000" cy="3263875"/>
                    </a:xfrm>
                    <a:prstGeom prst="rect">
                      <a:avLst/>
                    </a:prstGeom>
                    <a:noFill/>
                  </pic:spPr>
                </pic:pic>
              </a:graphicData>
            </a:graphic>
          </wp:inline>
        </w:drawing>
      </w:r>
    </w:p>
    <w:p w14:paraId="277FAA54" w14:textId="77777777" w:rsidR="00D23B50" w:rsidRDefault="00D23B50" w:rsidP="00C770FC">
      <w:pPr>
        <w:spacing w:after="0" w:line="240" w:lineRule="auto"/>
        <w:jc w:val="both"/>
        <w:rPr>
          <w:rFonts w:ascii="Verdana" w:eastAsia="Arial" w:hAnsi="Verdana" w:cs="Arial"/>
          <w:kern w:val="0"/>
          <w:lang w:eastAsia="es-CO"/>
          <w14:ligatures w14:val="none"/>
        </w:rPr>
      </w:pPr>
    </w:p>
    <w:p w14:paraId="4B0CDA28" w14:textId="77777777" w:rsidR="00E81EE3" w:rsidRDefault="00E81EE3" w:rsidP="00C770FC">
      <w:pPr>
        <w:spacing w:after="0" w:line="240" w:lineRule="auto"/>
        <w:jc w:val="both"/>
        <w:rPr>
          <w:rFonts w:ascii="Verdana" w:eastAsia="Arial" w:hAnsi="Verdana" w:cs="Arial"/>
          <w:kern w:val="0"/>
          <w:lang w:eastAsia="es-CO"/>
          <w14:ligatures w14:val="none"/>
        </w:rPr>
      </w:pPr>
    </w:p>
    <w:p w14:paraId="57F73E18" w14:textId="0A6F078C" w:rsidR="00C770FC" w:rsidRDefault="00D34A91" w:rsidP="00C770FC">
      <w:pPr>
        <w:spacing w:after="0" w:line="240" w:lineRule="auto"/>
        <w:jc w:val="both"/>
        <w:rPr>
          <w:rFonts w:ascii="Verdana" w:eastAsia="Arial" w:hAnsi="Verdana" w:cs="Arial"/>
          <w:kern w:val="0"/>
          <w:lang w:eastAsia="es-CO"/>
          <w14:ligatures w14:val="none"/>
        </w:rPr>
      </w:pPr>
      <w:r w:rsidRPr="00D34A91">
        <w:rPr>
          <w:rFonts w:ascii="Verdana" w:eastAsia="Arial" w:hAnsi="Verdana" w:cs="Arial"/>
          <w:kern w:val="0"/>
          <w:lang w:eastAsia="es-CO"/>
          <w14:ligatures w14:val="none"/>
        </w:rPr>
        <w:t xml:space="preserve">Que </w:t>
      </w:r>
      <w:r w:rsidR="0068579B">
        <w:rPr>
          <w:rFonts w:ascii="Verdana" w:eastAsia="Arial" w:hAnsi="Verdana" w:cs="Arial"/>
          <w:kern w:val="0"/>
          <w:lang w:eastAsia="es-CO"/>
          <w14:ligatures w14:val="none"/>
        </w:rPr>
        <w:t>de igual manera</w:t>
      </w:r>
      <w:r w:rsidR="00906BEA">
        <w:rPr>
          <w:rFonts w:ascii="Verdana" w:eastAsia="Arial" w:hAnsi="Verdana" w:cs="Arial"/>
          <w:kern w:val="0"/>
          <w:lang w:eastAsia="es-CO"/>
          <w14:ligatures w14:val="none"/>
        </w:rPr>
        <w:t xml:space="preserve">, </w:t>
      </w:r>
      <w:r w:rsidRPr="00D34A91">
        <w:rPr>
          <w:rFonts w:ascii="Verdana" w:eastAsia="Arial" w:hAnsi="Verdana" w:cs="Arial"/>
          <w:kern w:val="0"/>
          <w:lang w:eastAsia="es-CO"/>
          <w14:ligatures w14:val="none"/>
        </w:rPr>
        <w:t>la Agencia Nacional de Minería – ANM, mediante comunicación No. 20254110498371 de 28 de julio de 2025, con radicado interno No. 2025E1039868 de 05 de agosto de 2025, puso en conocimiento de este Ministerio el rechazo de la solicitud de declaración y delimitación del Área de Reserva Especial identificada con placa ARE-503563, ubicada en jurisdicción del municipio de Suratá, departamento de Santander, la cual se encuentra listada en el anexo 3 de la citada resolución y es objeto de aplicación del parágrafo 1 Ibidem</w:t>
      </w:r>
    </w:p>
    <w:p w14:paraId="7536BBE8" w14:textId="77777777" w:rsidR="00D34A91" w:rsidRDefault="00D34A91" w:rsidP="00C770FC">
      <w:pPr>
        <w:spacing w:after="0" w:line="240" w:lineRule="auto"/>
        <w:jc w:val="both"/>
        <w:rPr>
          <w:rFonts w:ascii="Verdana" w:eastAsia="Arial" w:hAnsi="Verdana" w:cs="Arial"/>
          <w:kern w:val="0"/>
          <w:lang w:eastAsia="es-CO"/>
          <w14:ligatures w14:val="none"/>
        </w:rPr>
      </w:pPr>
    </w:p>
    <w:p w14:paraId="23837323" w14:textId="77777777" w:rsidR="0018024D" w:rsidRDefault="00E86BFD" w:rsidP="00C770FC">
      <w:pPr>
        <w:spacing w:after="0" w:line="240" w:lineRule="auto"/>
        <w:jc w:val="both"/>
        <w:rPr>
          <w:rFonts w:ascii="Verdana" w:eastAsia="Arial" w:hAnsi="Verdana" w:cs="Arial"/>
          <w:kern w:val="0"/>
          <w:lang w:eastAsia="es-CO"/>
          <w14:ligatures w14:val="none"/>
        </w:rPr>
      </w:pPr>
      <w:r w:rsidRPr="00E86BFD">
        <w:rPr>
          <w:rFonts w:ascii="Verdana" w:eastAsia="Arial" w:hAnsi="Verdana" w:cs="Arial"/>
          <w:kern w:val="0"/>
          <w:lang w:eastAsia="es-CO"/>
          <w14:ligatures w14:val="none"/>
        </w:rPr>
        <w:t xml:space="preserve">Que, con base en lo anterior, la ANM solicita que se adelanten las actuaciones correspondientes, que permitan incorporar el polígono de dicha solicitud al área efectiva de la zona de reserva de recursos naturales renovables de carácter temporal y realizar la precisión cartográfica correspondiente. </w:t>
      </w:r>
    </w:p>
    <w:p w14:paraId="5A80E658" w14:textId="77777777" w:rsidR="0018024D" w:rsidRDefault="0018024D" w:rsidP="00C770FC">
      <w:pPr>
        <w:spacing w:after="0" w:line="240" w:lineRule="auto"/>
        <w:jc w:val="both"/>
        <w:rPr>
          <w:rFonts w:ascii="Verdana" w:eastAsia="Arial" w:hAnsi="Verdana" w:cs="Arial"/>
          <w:kern w:val="0"/>
          <w:lang w:eastAsia="es-CO"/>
          <w14:ligatures w14:val="none"/>
        </w:rPr>
      </w:pPr>
    </w:p>
    <w:p w14:paraId="7E82E590" w14:textId="04E4D9B7" w:rsidR="00E86BFD" w:rsidRDefault="00E86BFD" w:rsidP="00C770FC">
      <w:pPr>
        <w:spacing w:after="0" w:line="240" w:lineRule="auto"/>
        <w:jc w:val="both"/>
        <w:rPr>
          <w:rFonts w:ascii="Verdana" w:eastAsia="Arial" w:hAnsi="Verdana" w:cs="Arial"/>
          <w:kern w:val="0"/>
          <w:lang w:eastAsia="es-CO"/>
          <w14:ligatures w14:val="none"/>
        </w:rPr>
      </w:pPr>
      <w:r w:rsidRPr="00E86BFD">
        <w:rPr>
          <w:rFonts w:ascii="Verdana" w:eastAsia="Arial" w:hAnsi="Verdana" w:cs="Arial"/>
          <w:kern w:val="0"/>
          <w:lang w:eastAsia="es-CO"/>
          <w14:ligatures w14:val="none"/>
        </w:rPr>
        <w:t xml:space="preserve">Igualmente, informa que la </w:t>
      </w:r>
      <w:proofErr w:type="spellStart"/>
      <w:r w:rsidRPr="00E86BFD">
        <w:rPr>
          <w:rFonts w:ascii="Verdana" w:eastAsia="Arial" w:hAnsi="Verdana" w:cs="Arial"/>
          <w:kern w:val="0"/>
          <w:lang w:eastAsia="es-CO"/>
          <w14:ligatures w14:val="none"/>
        </w:rPr>
        <w:t>desanotación</w:t>
      </w:r>
      <w:proofErr w:type="spellEnd"/>
      <w:r w:rsidRPr="00E86BFD">
        <w:rPr>
          <w:rFonts w:ascii="Verdana" w:eastAsia="Arial" w:hAnsi="Verdana" w:cs="Arial"/>
          <w:kern w:val="0"/>
          <w:lang w:eastAsia="es-CO"/>
          <w14:ligatures w14:val="none"/>
        </w:rPr>
        <w:t xml:space="preserve"> en el Sistema Integral de Gestión Minera – SIGM- se efectuó mediante el evento No. 729904 del 11 de abril del 2025, actualizando el estado de la solicitud como "solicitud archivada". Que el Ministerio de Ambiente y Desarrollo Sostenible procedió a realizar el cotejo técnico de la información y solicitud presentada por la Agencia Nacional de Minería – ANM, encontrando que la solicitud de declaración y delimitación del Área de Reserva Especial identificada con placa ARE-503563, rechazada por la ANM, se localiza en jurisdicción del municipio de Suratá, departamento de Santander, abarca un área de 20.72 hectáreas, y corresponde a uno de los 13 polígonos incluidos en el Anexo 3 de la Resolución 0221 de 2025, motivo por el cual no hace parte del área geográfica efectiva de la Zona de Reserva de Recursos Naturales Renovables, en concordancia con el artículo 5 de la Resolución 0221 de 2025, tal como se indica en la siguiente imagen:</w:t>
      </w:r>
    </w:p>
    <w:p w14:paraId="08412E99" w14:textId="77777777" w:rsidR="00E86BFD" w:rsidRDefault="00E86BFD" w:rsidP="00C770FC">
      <w:pPr>
        <w:spacing w:after="0" w:line="240" w:lineRule="auto"/>
        <w:jc w:val="both"/>
        <w:rPr>
          <w:rFonts w:ascii="Verdana" w:eastAsia="Arial" w:hAnsi="Verdana" w:cs="Arial"/>
          <w:kern w:val="0"/>
          <w:lang w:eastAsia="es-CO"/>
          <w14:ligatures w14:val="none"/>
        </w:rPr>
      </w:pPr>
    </w:p>
    <w:p w14:paraId="7DD2D558" w14:textId="27D3DCFE" w:rsidR="00E86BFD" w:rsidRDefault="003C26C6" w:rsidP="00C770FC">
      <w:pPr>
        <w:spacing w:after="0" w:line="240" w:lineRule="auto"/>
        <w:jc w:val="both"/>
        <w:rPr>
          <w:rFonts w:ascii="Verdana" w:eastAsia="Arial" w:hAnsi="Verdana" w:cs="Arial"/>
          <w:kern w:val="0"/>
          <w:lang w:eastAsia="es-CO"/>
          <w14:ligatures w14:val="none"/>
        </w:rPr>
      </w:pPr>
      <w:r>
        <w:rPr>
          <w:rFonts w:ascii="Verdana" w:eastAsia="Arial" w:hAnsi="Verdana" w:cs="Arial"/>
          <w:noProof/>
          <w:kern w:val="0"/>
          <w:lang w:eastAsia="es-CO"/>
          <w14:ligatures w14:val="none"/>
        </w:rPr>
        <w:drawing>
          <wp:inline distT="0" distB="0" distL="0" distR="0" wp14:anchorId="5DF701F0" wp14:editId="567646B8">
            <wp:extent cx="5940000" cy="3308676"/>
            <wp:effectExtent l="0" t="0" r="3810" b="6350"/>
            <wp:docPr id="98234671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0000" cy="3308676"/>
                    </a:xfrm>
                    <a:prstGeom prst="rect">
                      <a:avLst/>
                    </a:prstGeom>
                    <a:noFill/>
                  </pic:spPr>
                </pic:pic>
              </a:graphicData>
            </a:graphic>
          </wp:inline>
        </w:drawing>
      </w:r>
    </w:p>
    <w:p w14:paraId="7C7C5283" w14:textId="77777777" w:rsidR="00E86BFD" w:rsidRDefault="00E86BFD" w:rsidP="00C770FC">
      <w:pPr>
        <w:spacing w:after="0" w:line="240" w:lineRule="auto"/>
        <w:jc w:val="both"/>
        <w:rPr>
          <w:rFonts w:ascii="Verdana" w:eastAsia="Arial" w:hAnsi="Verdana" w:cs="Arial"/>
          <w:kern w:val="0"/>
          <w:lang w:eastAsia="es-CO"/>
          <w14:ligatures w14:val="none"/>
        </w:rPr>
      </w:pPr>
    </w:p>
    <w:p w14:paraId="59D1CEC9" w14:textId="77777777" w:rsidR="007E5BDF" w:rsidRDefault="007E5BDF" w:rsidP="007E5BDF">
      <w:pPr>
        <w:spacing w:after="0" w:line="240" w:lineRule="auto"/>
        <w:jc w:val="both"/>
        <w:rPr>
          <w:rFonts w:ascii="Verdana" w:eastAsia="Arial" w:hAnsi="Verdana" w:cs="Arial"/>
          <w:kern w:val="0"/>
          <w:lang w:eastAsia="es-CO"/>
          <w14:ligatures w14:val="none"/>
        </w:rPr>
      </w:pPr>
      <w:r w:rsidRPr="007E5BDF">
        <w:rPr>
          <w:rFonts w:ascii="Verdana" w:eastAsia="Arial" w:hAnsi="Verdana" w:cs="Arial"/>
          <w:kern w:val="0"/>
          <w:lang w:eastAsia="es-CO"/>
          <w14:ligatures w14:val="none"/>
        </w:rPr>
        <w:t xml:space="preserve">Que, adicionalmente, una vez </w:t>
      </w:r>
      <w:proofErr w:type="spellStart"/>
      <w:r w:rsidRPr="007E5BDF">
        <w:rPr>
          <w:rFonts w:ascii="Verdana" w:eastAsia="Arial" w:hAnsi="Verdana" w:cs="Arial"/>
          <w:kern w:val="0"/>
          <w:lang w:eastAsia="es-CO"/>
          <w14:ligatures w14:val="none"/>
        </w:rPr>
        <w:t>desanotada</w:t>
      </w:r>
      <w:proofErr w:type="spellEnd"/>
      <w:r w:rsidRPr="007E5BDF">
        <w:rPr>
          <w:rFonts w:ascii="Verdana" w:eastAsia="Arial" w:hAnsi="Verdana" w:cs="Arial"/>
          <w:kern w:val="0"/>
          <w:lang w:eastAsia="es-CO"/>
          <w14:ligatures w14:val="none"/>
        </w:rPr>
        <w:t xml:space="preserve"> en el Sistema Integral de Gestión Minera –SIGM– la solicitud de declaración y delimitación del Área de Reserva Especial identificada con placa ARE-503563, y previo a la incorporación de dicha área al área efectiva de la Zona de Reserva de Recursos Naturales Renovables de carácter temporal por parte del Ministerio de Ambiente y Desarrollo </w:t>
      </w:r>
      <w:r w:rsidRPr="007E5BDF">
        <w:rPr>
          <w:rFonts w:ascii="Verdana" w:eastAsia="Arial" w:hAnsi="Verdana" w:cs="Arial"/>
          <w:kern w:val="0"/>
          <w:lang w:eastAsia="es-CO"/>
          <w14:ligatures w14:val="none"/>
        </w:rPr>
        <w:lastRenderedPageBreak/>
        <w:t>Sostenible, se presentó la captura de una nueva solicitud de Área de Reserva Especial con placa ARE-511023 que se superpone parcialmente sobre el mismo polígono.</w:t>
      </w:r>
    </w:p>
    <w:p w14:paraId="71838652" w14:textId="77777777" w:rsidR="007E5BDF" w:rsidRPr="007E5BDF" w:rsidRDefault="007E5BDF" w:rsidP="007E5BDF">
      <w:pPr>
        <w:spacing w:after="0" w:line="240" w:lineRule="auto"/>
        <w:jc w:val="both"/>
        <w:rPr>
          <w:rFonts w:ascii="Verdana" w:eastAsia="Arial" w:hAnsi="Verdana" w:cs="Arial"/>
          <w:kern w:val="0"/>
          <w:lang w:eastAsia="es-CO"/>
          <w14:ligatures w14:val="none"/>
        </w:rPr>
      </w:pPr>
    </w:p>
    <w:p w14:paraId="3EB39A31" w14:textId="2BB35EDB" w:rsidR="00C770FC" w:rsidRDefault="007E5BDF" w:rsidP="008971A4">
      <w:pPr>
        <w:spacing w:after="0" w:line="240" w:lineRule="auto"/>
        <w:jc w:val="both"/>
        <w:rPr>
          <w:rFonts w:ascii="Verdana" w:eastAsia="Arial" w:hAnsi="Verdana" w:cs="Arial"/>
          <w:kern w:val="0"/>
          <w:lang w:eastAsia="es-CO"/>
          <w14:ligatures w14:val="none"/>
        </w:rPr>
      </w:pPr>
      <w:r w:rsidRPr="007E5BDF">
        <w:rPr>
          <w:rFonts w:ascii="Verdana" w:eastAsia="Arial" w:hAnsi="Verdana" w:cs="Arial"/>
          <w:kern w:val="0"/>
          <w:lang w:eastAsia="es-CO"/>
          <w14:ligatures w14:val="none"/>
        </w:rPr>
        <w:t>Que, respecto de la solicitud de Área de Reserva Especial ARE-511023 que se superpone parcialmente sobre el polígono previamente identificado, la Agencia Nacional de Minería</w:t>
      </w:r>
      <w:r w:rsidR="00FB3080">
        <w:rPr>
          <w:rFonts w:ascii="Verdana" w:eastAsia="Arial" w:hAnsi="Verdana" w:cs="Arial"/>
          <w:kern w:val="0"/>
          <w:lang w:eastAsia="es-CO"/>
          <w14:ligatures w14:val="none"/>
        </w:rPr>
        <w:t xml:space="preserve"> comunico al Ministerio de Ambiente mediante radicado ANM20264110535771 del 14 de julio de 2026 que</w:t>
      </w:r>
      <w:r w:rsidRPr="007E5BDF">
        <w:rPr>
          <w:rFonts w:ascii="Verdana" w:eastAsia="Arial" w:hAnsi="Verdana" w:cs="Arial"/>
          <w:kern w:val="0"/>
          <w:lang w:eastAsia="es-CO"/>
          <w14:ligatures w14:val="none"/>
        </w:rPr>
        <w:t xml:space="preserve"> </w:t>
      </w:r>
      <w:r w:rsidR="007941D7">
        <w:rPr>
          <w:rFonts w:ascii="Verdana" w:eastAsia="Arial" w:hAnsi="Verdana" w:cs="Arial"/>
          <w:kern w:val="0"/>
          <w:lang w:eastAsia="es-CO"/>
          <w14:ligatures w14:val="none"/>
        </w:rPr>
        <w:t>expidió la</w:t>
      </w:r>
      <w:r w:rsidR="007D236C">
        <w:rPr>
          <w:rFonts w:ascii="Verdana" w:eastAsia="Arial" w:hAnsi="Verdana" w:cs="Arial"/>
          <w:kern w:val="0"/>
          <w:lang w:eastAsia="es-CO"/>
          <w14:ligatures w14:val="none"/>
        </w:rPr>
        <w:t>s</w:t>
      </w:r>
      <w:r w:rsidR="007941D7">
        <w:rPr>
          <w:rFonts w:ascii="Verdana" w:eastAsia="Arial" w:hAnsi="Verdana" w:cs="Arial"/>
          <w:kern w:val="0"/>
          <w:lang w:eastAsia="es-CO"/>
          <w14:ligatures w14:val="none"/>
        </w:rPr>
        <w:t xml:space="preserve"> resoluci</w:t>
      </w:r>
      <w:r w:rsidR="007D236C">
        <w:rPr>
          <w:rFonts w:ascii="Verdana" w:eastAsia="Arial" w:hAnsi="Verdana" w:cs="Arial"/>
          <w:kern w:val="0"/>
          <w:lang w:eastAsia="es-CO"/>
          <w14:ligatures w14:val="none"/>
        </w:rPr>
        <w:t>ones</w:t>
      </w:r>
      <w:r w:rsidR="00F87F38">
        <w:rPr>
          <w:rFonts w:ascii="Verdana" w:eastAsia="Arial" w:hAnsi="Verdana" w:cs="Arial"/>
          <w:kern w:val="0"/>
          <w:lang w:eastAsia="es-CO"/>
          <w14:ligatures w14:val="none"/>
        </w:rPr>
        <w:t xml:space="preserve"> VPF-2866 de octubre de</w:t>
      </w:r>
      <w:r w:rsidR="008971A4">
        <w:rPr>
          <w:rFonts w:ascii="Verdana" w:eastAsia="Arial" w:hAnsi="Verdana" w:cs="Arial"/>
          <w:kern w:val="0"/>
          <w:lang w:eastAsia="es-CO"/>
          <w14:ligatures w14:val="none"/>
        </w:rPr>
        <w:t xml:space="preserve"> 2025 y</w:t>
      </w:r>
      <w:r w:rsidR="007941D7">
        <w:rPr>
          <w:rFonts w:ascii="Verdana" w:eastAsia="Arial" w:hAnsi="Verdana" w:cs="Arial"/>
          <w:kern w:val="0"/>
          <w:lang w:eastAsia="es-CO"/>
          <w14:ligatures w14:val="none"/>
        </w:rPr>
        <w:t xml:space="preserve"> </w:t>
      </w:r>
      <w:r w:rsidR="00146DFB">
        <w:rPr>
          <w:rFonts w:ascii="Verdana" w:eastAsia="Arial" w:hAnsi="Verdana" w:cs="Arial"/>
          <w:kern w:val="0"/>
          <w:lang w:eastAsia="es-CO"/>
          <w14:ligatures w14:val="none"/>
        </w:rPr>
        <w:t>VPF</w:t>
      </w:r>
      <w:r w:rsidR="007D236C">
        <w:rPr>
          <w:rFonts w:ascii="Verdana" w:eastAsia="Arial" w:hAnsi="Verdana" w:cs="Arial"/>
          <w:kern w:val="0"/>
          <w:lang w:eastAsia="es-CO"/>
          <w14:ligatures w14:val="none"/>
        </w:rPr>
        <w:t>-2387</w:t>
      </w:r>
      <w:r w:rsidR="007941D7">
        <w:rPr>
          <w:rFonts w:ascii="Verdana" w:eastAsia="Arial" w:hAnsi="Verdana" w:cs="Arial"/>
          <w:kern w:val="0"/>
          <w:lang w:eastAsia="es-CO"/>
          <w14:ligatures w14:val="none"/>
        </w:rPr>
        <w:t xml:space="preserve"> de junio de 2026 donde</w:t>
      </w:r>
      <w:r w:rsidRPr="007E5BDF">
        <w:rPr>
          <w:rFonts w:ascii="Verdana" w:eastAsia="Arial" w:hAnsi="Verdana" w:cs="Arial"/>
          <w:kern w:val="0"/>
          <w:lang w:eastAsia="es-CO"/>
          <w14:ligatures w14:val="none"/>
        </w:rPr>
        <w:t xml:space="preserve"> rechazo de dicha solicitud, razón por la cual a la fecha de expedición del presente acto no se configura una situación jurídica vigente ni consolidada </w:t>
      </w:r>
      <w:r w:rsidR="008971A4">
        <w:rPr>
          <w:rFonts w:ascii="Verdana" w:eastAsia="Arial" w:hAnsi="Verdana" w:cs="Arial"/>
          <w:kern w:val="0"/>
          <w:lang w:eastAsia="es-CO"/>
          <w14:ligatures w14:val="none"/>
        </w:rPr>
        <w:t xml:space="preserve">lo que permite </w:t>
      </w:r>
      <w:r w:rsidRPr="007E5BDF">
        <w:rPr>
          <w:rFonts w:ascii="Verdana" w:eastAsia="Arial" w:hAnsi="Verdana" w:cs="Arial"/>
          <w:kern w:val="0"/>
          <w:lang w:eastAsia="es-CO"/>
          <w14:ligatures w14:val="none"/>
        </w:rPr>
        <w:t xml:space="preserve">la incorporación del </w:t>
      </w:r>
      <w:r w:rsidR="008971A4">
        <w:rPr>
          <w:rFonts w:ascii="Verdana" w:eastAsia="Arial" w:hAnsi="Verdana" w:cs="Arial"/>
          <w:kern w:val="0"/>
          <w:lang w:eastAsia="es-CO"/>
          <w14:ligatures w14:val="none"/>
        </w:rPr>
        <w:t>polígono</w:t>
      </w:r>
      <w:r w:rsidRPr="007E5BDF">
        <w:rPr>
          <w:rFonts w:ascii="Verdana" w:eastAsia="Arial" w:hAnsi="Verdana" w:cs="Arial"/>
          <w:kern w:val="0"/>
          <w:lang w:eastAsia="es-CO"/>
          <w14:ligatures w14:val="none"/>
        </w:rPr>
        <w:t xml:space="preserve"> al área geográfica efectiva de la Zona de Reserva de Recursos Naturales Renovables de carácter temporal, en los términos previstos en el parágrafo 1 del artículo 5 de la Resolución 0221 de 2025.</w:t>
      </w:r>
    </w:p>
    <w:p w14:paraId="03AEE639" w14:textId="77777777" w:rsidR="008971A4" w:rsidRPr="008971A4" w:rsidRDefault="008971A4" w:rsidP="008971A4">
      <w:pPr>
        <w:spacing w:after="0" w:line="240" w:lineRule="auto"/>
        <w:jc w:val="both"/>
        <w:rPr>
          <w:rFonts w:ascii="Verdana" w:eastAsia="Arial" w:hAnsi="Verdana" w:cs="Arial"/>
          <w:kern w:val="0"/>
          <w:lang w:eastAsia="es-CO"/>
          <w14:ligatures w14:val="none"/>
        </w:rPr>
      </w:pPr>
    </w:p>
    <w:p w14:paraId="0B2F1B2D" w14:textId="61261149" w:rsidR="00C770FC" w:rsidRPr="00C770FC" w:rsidRDefault="00C770FC" w:rsidP="00C770FC">
      <w:pPr>
        <w:spacing w:line="240" w:lineRule="auto"/>
        <w:jc w:val="both"/>
        <w:rPr>
          <w:rFonts w:ascii="Verdana" w:eastAsia="Arial" w:hAnsi="Verdana" w:cs="Arial"/>
          <w:lang w:eastAsia="es-CO"/>
        </w:rPr>
      </w:pPr>
      <w:r w:rsidRPr="00C770FC">
        <w:rPr>
          <w:rFonts w:ascii="Verdana" w:eastAsia="Aptos" w:hAnsi="Verdana" w:cs="Arial"/>
        </w:rPr>
        <w:t xml:space="preserve">Que de conformidad con el parágrafo 1° del artículo 5° de la </w:t>
      </w:r>
      <w:r w:rsidRPr="00C770FC">
        <w:rPr>
          <w:rFonts w:ascii="Verdana" w:eastAsia="Aptos" w:hAnsi="Verdana" w:cs="Arial"/>
          <w:color w:val="000000"/>
        </w:rPr>
        <w:t xml:space="preserve">Resolución 0221 de 2025, el darse por terminada </w:t>
      </w:r>
      <w:r w:rsidRPr="00C770FC">
        <w:rPr>
          <w:rFonts w:ascii="Verdana" w:eastAsia="Arial" w:hAnsi="Verdana" w:cs="Arial"/>
          <w:kern w:val="0"/>
          <w:lang w:eastAsia="es-CO"/>
          <w14:ligatures w14:val="none"/>
        </w:rPr>
        <w:t xml:space="preserve">la Zona Reservada con Potencial - ZRP No. 736 </w:t>
      </w:r>
      <w:r w:rsidR="00057F2C">
        <w:rPr>
          <w:rFonts w:ascii="Verdana" w:eastAsia="Arial" w:hAnsi="Verdana" w:cs="Arial"/>
          <w:kern w:val="0"/>
          <w:lang w:eastAsia="es-CO"/>
          <w14:ligatures w14:val="none"/>
        </w:rPr>
        <w:t>y el Area de Reserva Especial</w:t>
      </w:r>
      <w:r w:rsidR="008971A4">
        <w:rPr>
          <w:rFonts w:ascii="Verdana" w:eastAsia="Arial" w:hAnsi="Verdana" w:cs="Arial"/>
          <w:kern w:val="0"/>
          <w:lang w:eastAsia="es-CO"/>
          <w14:ligatures w14:val="none"/>
        </w:rPr>
        <w:t>,</w:t>
      </w:r>
      <w:r w:rsidR="00057F2C">
        <w:rPr>
          <w:rFonts w:ascii="Verdana" w:eastAsia="Arial" w:hAnsi="Verdana" w:cs="Arial"/>
          <w:kern w:val="0"/>
          <w:lang w:eastAsia="es-CO"/>
          <w14:ligatures w14:val="none"/>
        </w:rPr>
        <w:t xml:space="preserve"> </w:t>
      </w:r>
      <w:r w:rsidRPr="00C770FC">
        <w:rPr>
          <w:rFonts w:ascii="Verdana" w:eastAsia="Arial" w:hAnsi="Verdana" w:cs="Arial"/>
          <w:lang w:eastAsia="es-CO"/>
        </w:rPr>
        <w:t>es un hecho cumplido que tiene como consecuencia jurídica la incorporación del espacio geográfico de dich</w:t>
      </w:r>
      <w:r w:rsidR="008971A4">
        <w:rPr>
          <w:rFonts w:ascii="Verdana" w:eastAsia="Arial" w:hAnsi="Verdana" w:cs="Arial"/>
          <w:lang w:eastAsia="es-CO"/>
        </w:rPr>
        <w:t>os polígonos</w:t>
      </w:r>
      <w:r w:rsidRPr="00C770FC">
        <w:rPr>
          <w:rFonts w:ascii="Verdana" w:eastAsia="Arial" w:hAnsi="Verdana" w:cs="Arial"/>
          <w:lang w:eastAsia="es-CO"/>
        </w:rPr>
        <w:t xml:space="preserve"> al área efectiva de la Zona de Reserva de Recursos Naturales Renovables de carácter temporal declarada en la Resolución 0221 de 2025.</w:t>
      </w:r>
    </w:p>
    <w:p w14:paraId="29324ADE" w14:textId="6C334266" w:rsidR="00C770FC" w:rsidRPr="00C770FC" w:rsidRDefault="00C770FC" w:rsidP="00C770FC">
      <w:pPr>
        <w:spacing w:line="240" w:lineRule="auto"/>
        <w:jc w:val="both"/>
        <w:rPr>
          <w:rFonts w:ascii="Verdana" w:eastAsia="Arial" w:hAnsi="Verdana" w:cs="Arial"/>
          <w:lang w:eastAsia="es-CO"/>
        </w:rPr>
      </w:pPr>
      <w:r w:rsidRPr="00C770FC">
        <w:rPr>
          <w:rFonts w:ascii="Verdana" w:eastAsia="Arial" w:hAnsi="Verdana" w:cs="Arial"/>
          <w:lang w:eastAsia="es-CO"/>
        </w:rPr>
        <w:t xml:space="preserve">Que en consecuencia, se requiere realizar el ajuste cartográfico correspondiente al área geográfica efectiva de la zona de </w:t>
      </w:r>
      <w:r w:rsidRPr="008B26B8">
        <w:rPr>
          <w:rFonts w:ascii="Verdana" w:eastAsia="Arial" w:hAnsi="Verdana" w:cs="Arial"/>
          <w:lang w:eastAsia="es-CO"/>
        </w:rPr>
        <w:t>reserva de recursos naturales de carácter temporal, mediante la incorporación de 67</w:t>
      </w:r>
      <w:r w:rsidR="004C7B33">
        <w:rPr>
          <w:rFonts w:ascii="Verdana" w:eastAsia="Arial" w:hAnsi="Verdana" w:cs="Arial"/>
          <w:lang w:eastAsia="es-CO"/>
        </w:rPr>
        <w:t>,</w:t>
      </w:r>
      <w:r w:rsidRPr="008B26B8">
        <w:rPr>
          <w:rFonts w:ascii="Verdana" w:eastAsia="Arial" w:hAnsi="Verdana" w:cs="Arial"/>
          <w:lang w:eastAsia="es-CO"/>
        </w:rPr>
        <w:t xml:space="preserve">05 hectáreas que correspondían a la </w:t>
      </w:r>
      <w:r w:rsidRPr="008B26B8">
        <w:rPr>
          <w:rFonts w:ascii="Verdana" w:eastAsia="Arial" w:hAnsi="Verdana" w:cs="Arial"/>
          <w:kern w:val="0"/>
          <w:lang w:eastAsia="es-CO"/>
          <w14:ligatures w14:val="none"/>
        </w:rPr>
        <w:t>Zona Reservada con Potencial - ZRP Bloque No. 736</w:t>
      </w:r>
      <w:r w:rsidRPr="008B26B8">
        <w:rPr>
          <w:rFonts w:ascii="Verdana" w:eastAsia="Arial" w:hAnsi="Verdana" w:cs="Arial"/>
          <w:lang w:eastAsia="es-CO"/>
        </w:rPr>
        <w:t>,</w:t>
      </w:r>
      <w:r w:rsidR="00057F2C" w:rsidRPr="008B26B8">
        <w:rPr>
          <w:rFonts w:ascii="Verdana" w:eastAsia="Arial" w:hAnsi="Verdana" w:cs="Arial"/>
          <w:lang w:eastAsia="es-CO"/>
        </w:rPr>
        <w:t xml:space="preserve"> y</w:t>
      </w:r>
      <w:r w:rsidR="005750DC">
        <w:rPr>
          <w:rFonts w:ascii="Verdana" w:eastAsia="Arial" w:hAnsi="Verdana" w:cs="Arial"/>
          <w:lang w:eastAsia="es-CO"/>
        </w:rPr>
        <w:t xml:space="preserve"> de</w:t>
      </w:r>
      <w:r w:rsidR="00057F2C" w:rsidRPr="008B26B8">
        <w:rPr>
          <w:rFonts w:ascii="Verdana" w:eastAsia="Arial" w:hAnsi="Verdana" w:cs="Arial"/>
          <w:lang w:eastAsia="es-CO"/>
        </w:rPr>
        <w:t xml:space="preserve"> </w:t>
      </w:r>
      <w:r w:rsidR="007941D7" w:rsidRPr="008B26B8">
        <w:rPr>
          <w:rFonts w:ascii="Verdana" w:eastAsia="Arial" w:hAnsi="Verdana" w:cs="Arial"/>
          <w:lang w:eastAsia="es-CO"/>
        </w:rPr>
        <w:t>20,72</w:t>
      </w:r>
      <w:r w:rsidR="00057F2C" w:rsidRPr="008B26B8">
        <w:rPr>
          <w:rFonts w:ascii="Verdana" w:eastAsia="Arial" w:hAnsi="Verdana" w:cs="Arial"/>
          <w:lang w:eastAsia="es-CO"/>
        </w:rPr>
        <w:t xml:space="preserve"> </w:t>
      </w:r>
      <w:r w:rsidR="00057F2C" w:rsidRPr="00362D9E">
        <w:rPr>
          <w:rFonts w:ascii="Verdana" w:eastAsia="Arial" w:hAnsi="Verdana" w:cs="Arial"/>
          <w:lang w:eastAsia="es-CO"/>
        </w:rPr>
        <w:t xml:space="preserve">hectáreas </w:t>
      </w:r>
      <w:r w:rsidR="00057F2C" w:rsidRPr="00362D9E">
        <w:rPr>
          <w:rFonts w:ascii="Verdana" w:eastAsia="Arial" w:hAnsi="Verdana" w:cs="Arial"/>
          <w:color w:val="000000" w:themeColor="text1"/>
          <w:lang w:eastAsia="es-CO"/>
        </w:rPr>
        <w:t>que</w:t>
      </w:r>
      <w:r w:rsidR="00057F2C" w:rsidRPr="00362D9E">
        <w:rPr>
          <w:rFonts w:ascii="Verdana" w:eastAsia="Arial" w:hAnsi="Verdana" w:cs="Arial"/>
          <w:color w:val="EE0000"/>
          <w:lang w:eastAsia="es-CO"/>
        </w:rPr>
        <w:t xml:space="preserve"> </w:t>
      </w:r>
      <w:r w:rsidR="00057F2C" w:rsidRPr="00362D9E">
        <w:rPr>
          <w:rFonts w:ascii="Verdana" w:eastAsia="Arial" w:hAnsi="Verdana" w:cs="Arial"/>
          <w:lang w:eastAsia="es-CO"/>
        </w:rPr>
        <w:t xml:space="preserve">correspondían al </w:t>
      </w:r>
      <w:r w:rsidR="005750DC">
        <w:rPr>
          <w:rFonts w:ascii="Verdana" w:eastAsia="Arial" w:hAnsi="Verdana" w:cs="Arial"/>
          <w:lang w:eastAsia="es-CO"/>
        </w:rPr>
        <w:t xml:space="preserve">polígono del </w:t>
      </w:r>
      <w:r w:rsidR="00057F2C" w:rsidRPr="00362D9E">
        <w:rPr>
          <w:rFonts w:ascii="Verdana" w:eastAsia="Arial" w:hAnsi="Verdana" w:cs="Arial"/>
          <w:lang w:eastAsia="es-CO"/>
        </w:rPr>
        <w:t xml:space="preserve">área de Reserva Especial </w:t>
      </w:r>
      <w:r w:rsidR="00057F2C" w:rsidRPr="00362D9E">
        <w:rPr>
          <w:rFonts w:ascii="Verdana" w:eastAsia="Arial" w:hAnsi="Verdana" w:cs="Arial"/>
          <w:kern w:val="0"/>
          <w:lang w:eastAsia="es-CO"/>
          <w14:ligatures w14:val="none"/>
        </w:rPr>
        <w:t xml:space="preserve">ARE-503563  </w:t>
      </w:r>
      <w:r w:rsidRPr="00362D9E">
        <w:rPr>
          <w:rFonts w:ascii="Verdana" w:eastAsia="Arial" w:hAnsi="Verdana" w:cs="Arial"/>
          <w:lang w:eastAsia="es-CO"/>
        </w:rPr>
        <w:t xml:space="preserve">teniendo como resultado un área geográfica efectiva y actualizada de la zona de reserva de recursos naturales de carácter temporal correspondiente a </w:t>
      </w:r>
      <w:r w:rsidR="002A6E0C">
        <w:rPr>
          <w:rFonts w:ascii="Verdana" w:eastAsia="Verdana" w:hAnsi="Verdana" w:cs="Verdana"/>
        </w:rPr>
        <w:t>75.432,42</w:t>
      </w:r>
      <w:r w:rsidR="002A6E0C" w:rsidRPr="001B025D">
        <w:rPr>
          <w:rFonts w:ascii="Verdana" w:eastAsia="Verdana" w:hAnsi="Verdana" w:cs="Verdana"/>
        </w:rPr>
        <w:t xml:space="preserve"> </w:t>
      </w:r>
      <w:r w:rsidRPr="00362D9E">
        <w:rPr>
          <w:rFonts w:ascii="Verdana" w:eastAsia="Arial" w:hAnsi="Verdana" w:cs="Arial"/>
          <w:lang w:eastAsia="es-CO"/>
        </w:rPr>
        <w:t>hectáreas.</w:t>
      </w:r>
    </w:p>
    <w:p w14:paraId="307215F3" w14:textId="6EF48733" w:rsidR="0001113C" w:rsidRDefault="0001113C" w:rsidP="0001113C">
      <w:pPr>
        <w:contextualSpacing/>
        <w:jc w:val="both"/>
        <w:rPr>
          <w:rFonts w:ascii="Verdana" w:eastAsia="Arial" w:hAnsi="Verdana" w:cs="Arial"/>
          <w:lang w:eastAsia="es-CO"/>
        </w:rPr>
      </w:pPr>
      <w:r w:rsidRPr="0001113C">
        <w:rPr>
          <w:rFonts w:ascii="Verdana" w:eastAsia="Arial" w:hAnsi="Verdana" w:cs="Arial"/>
          <w:lang w:eastAsia="es-CO"/>
        </w:rPr>
        <w:t>Que, en consecuencia, el Ministerio de Ambiente y Desarrollo Sostenible encuentra necesario modificar los anexos de la Resolución 0221 de 2025, con el fin de reflejar la actualización del área geográfica efectiva de la Zona de Reserva de Recursos Naturales Renovables de carácter temporal, como resultado de la incorporación de los polígonos respecto de los cuales se configuraron los supuestos previstos en el parágrafo 1 del artículo 5 del citado acto administrativo. En tal sentido, procede:</w:t>
      </w:r>
    </w:p>
    <w:p w14:paraId="5C28BE9D" w14:textId="77777777" w:rsidR="0001113C" w:rsidRPr="0001113C" w:rsidRDefault="0001113C" w:rsidP="0001113C">
      <w:pPr>
        <w:contextualSpacing/>
        <w:jc w:val="both"/>
        <w:rPr>
          <w:rFonts w:ascii="Verdana" w:eastAsia="Arial" w:hAnsi="Verdana" w:cs="Arial"/>
          <w:lang w:eastAsia="es-CO"/>
        </w:rPr>
      </w:pPr>
    </w:p>
    <w:p w14:paraId="502A247D" w14:textId="77777777" w:rsidR="00675531" w:rsidRDefault="00191FF1" w:rsidP="00675531">
      <w:pPr>
        <w:numPr>
          <w:ilvl w:val="0"/>
          <w:numId w:val="16"/>
        </w:numPr>
        <w:contextualSpacing/>
        <w:jc w:val="both"/>
        <w:rPr>
          <w:rFonts w:ascii="Verdana" w:eastAsia="Arial" w:hAnsi="Verdana" w:cs="Arial"/>
          <w:lang w:eastAsia="es-CO"/>
        </w:rPr>
      </w:pPr>
      <w:r w:rsidRPr="00191FF1">
        <w:rPr>
          <w:rFonts w:ascii="Verdana" w:eastAsia="Arial" w:hAnsi="Verdana" w:cs="Arial"/>
          <w:lang w:eastAsia="es-CO"/>
        </w:rPr>
        <w:t>Actualizar los Anexos 1 y 2 de la Resolución 0221 de 2025, incorporando al área geográfica efectiva de la Zona de Reserva de Recursos Naturales Renovables de carácter temporal el polígono correspondiente a la Zona Reservada con Potencial – ZRP Bloque No. 736 y el polígono correspondiente a la solicitud de Área de Reserva Especial identificada con placa ARE-503563, con lo cual el área geográfica efectiva de la Zona de Reserva asciende a 75.432,42 hectáreas.</w:t>
      </w:r>
    </w:p>
    <w:p w14:paraId="4A587B55" w14:textId="6EB9276B" w:rsidR="00057F2C" w:rsidRPr="00675531" w:rsidRDefault="00675531" w:rsidP="00675531">
      <w:pPr>
        <w:numPr>
          <w:ilvl w:val="0"/>
          <w:numId w:val="16"/>
        </w:numPr>
        <w:contextualSpacing/>
        <w:jc w:val="both"/>
        <w:rPr>
          <w:rFonts w:ascii="Verdana" w:eastAsia="Arial" w:hAnsi="Verdana" w:cs="Arial"/>
          <w:lang w:eastAsia="es-CO"/>
        </w:rPr>
      </w:pPr>
      <w:r w:rsidRPr="00675531">
        <w:rPr>
          <w:rFonts w:ascii="Verdana" w:eastAsia="Arial" w:hAnsi="Verdana" w:cs="Arial"/>
          <w:lang w:eastAsia="es-CO"/>
        </w:rPr>
        <w:t>Modificar el Anexo 3 de la Resolución 0221 de 2025, excluyendo de su contenido el polígono correspondiente a la Zona Reservada con Potencial – ZRP Bloque No. 736 y el polígono correspondiente a la solicitud de Área de Reserva Especial identificada con placa ARE-503563, por haber sido incorporados al área geográfica efectiva de la Zona de Reserva de Recursos Naturales Renovables de carácter temporal.</w:t>
      </w:r>
    </w:p>
    <w:p w14:paraId="2A5B5134" w14:textId="77777777" w:rsidR="00675531" w:rsidRPr="008B26B8" w:rsidRDefault="00675531" w:rsidP="00057F2C">
      <w:pPr>
        <w:ind w:left="360"/>
        <w:contextualSpacing/>
        <w:jc w:val="both"/>
        <w:rPr>
          <w:rFonts w:ascii="Verdana" w:eastAsia="Arial" w:hAnsi="Verdana" w:cs="Arial"/>
          <w:lang w:eastAsia="es-CO"/>
        </w:rPr>
      </w:pPr>
    </w:p>
    <w:p w14:paraId="21511F73" w14:textId="542BC7D9" w:rsidR="00131FD2" w:rsidRPr="00131FD2" w:rsidRDefault="00131FD2" w:rsidP="00C770FC">
      <w:pPr>
        <w:spacing w:after="0" w:line="240" w:lineRule="auto"/>
        <w:jc w:val="both"/>
        <w:rPr>
          <w:rFonts w:ascii="Verdana" w:eastAsia="Times New Roman" w:hAnsi="Verdana" w:cs="Arial"/>
          <w:kern w:val="0"/>
          <w:lang w:eastAsia="es-ES"/>
          <w14:ligatures w14:val="none"/>
        </w:rPr>
      </w:pPr>
      <w:r w:rsidRPr="00131FD2">
        <w:rPr>
          <w:rFonts w:ascii="Verdana" w:eastAsia="Times New Roman" w:hAnsi="Verdana" w:cs="Arial"/>
          <w:kern w:val="0"/>
          <w:lang w:eastAsia="es-ES"/>
          <w14:ligatures w14:val="none"/>
        </w:rPr>
        <w:t>Que las modificaciones cartográficas efectuadas mediante el presente acto administrativo no alteran el objeto, finalidad, alcance ni naturaleza jurídica de la Zona de Reserva de Recursos Naturales Renovables de carácter temporal declarada mediante la Resolución 0221 de 2025, sino que corresponden a una actualización del área geográfica efectiva en cumplimiento de lo dispuesto en el parágrafo 1 del artículo 5 del citado acto administrativo, como consecuencia de la variación del estado jurídico de algunos polígonos inicialmente excluidos de dicha área efectiva.</w:t>
      </w:r>
    </w:p>
    <w:p w14:paraId="16C3DD6D" w14:textId="77777777" w:rsidR="00131FD2" w:rsidRDefault="00131FD2" w:rsidP="00C770FC">
      <w:pPr>
        <w:spacing w:after="0" w:line="240" w:lineRule="auto"/>
        <w:jc w:val="both"/>
        <w:rPr>
          <w:rFonts w:ascii="Verdana" w:eastAsia="Times New Roman" w:hAnsi="Verdana" w:cs="Arial"/>
          <w:b/>
          <w:bCs/>
          <w:kern w:val="0"/>
          <w:lang w:val="es-ES" w:eastAsia="es-ES"/>
          <w14:ligatures w14:val="none"/>
        </w:rPr>
      </w:pPr>
    </w:p>
    <w:p w14:paraId="52E3AFD5" w14:textId="5BA4E87F" w:rsidR="00BC366D" w:rsidRPr="006D5FCA" w:rsidRDefault="006D5FCA" w:rsidP="006D5FCA">
      <w:pPr>
        <w:pStyle w:val="Prrafodelista"/>
        <w:numPr>
          <w:ilvl w:val="0"/>
          <w:numId w:val="19"/>
        </w:numPr>
        <w:spacing w:after="0"/>
        <w:jc w:val="both"/>
        <w:rPr>
          <w:rFonts w:ascii="Verdana" w:hAnsi="Verdana" w:cs="Arial"/>
          <w:b/>
          <w:bCs/>
          <w:lang w:eastAsia="es-ES"/>
        </w:rPr>
      </w:pPr>
      <w:r>
        <w:rPr>
          <w:rFonts w:ascii="Verdana" w:hAnsi="Verdana" w:cs="Arial"/>
          <w:b/>
          <w:bCs/>
          <w:sz w:val="22"/>
          <w:szCs w:val="22"/>
          <w:lang w:eastAsia="es-ES"/>
        </w:rPr>
        <w:t>Sobre la Prórroga</w:t>
      </w:r>
    </w:p>
    <w:p w14:paraId="5E126811" w14:textId="77777777" w:rsidR="00BC366D" w:rsidRDefault="00BC366D" w:rsidP="00C770FC">
      <w:pPr>
        <w:spacing w:after="0" w:line="240" w:lineRule="auto"/>
        <w:jc w:val="both"/>
        <w:rPr>
          <w:rFonts w:ascii="Verdana" w:eastAsia="Times New Roman" w:hAnsi="Verdana" w:cs="Arial"/>
          <w:kern w:val="0"/>
          <w:lang w:val="es-ES" w:eastAsia="es-ES"/>
          <w14:ligatures w14:val="none"/>
        </w:rPr>
      </w:pPr>
    </w:p>
    <w:p w14:paraId="32542D51" w14:textId="40E2D1D6" w:rsidR="006A388A" w:rsidRDefault="00D0065E" w:rsidP="00C770FC">
      <w:pPr>
        <w:spacing w:after="0" w:line="240" w:lineRule="auto"/>
        <w:jc w:val="both"/>
        <w:rPr>
          <w:rFonts w:ascii="Verdana" w:eastAsia="Times New Roman" w:hAnsi="Verdana" w:cs="Arial"/>
          <w:kern w:val="0"/>
          <w:lang w:val="es-ES" w:eastAsia="es-ES"/>
          <w14:ligatures w14:val="none"/>
        </w:rPr>
      </w:pPr>
      <w:r>
        <w:rPr>
          <w:rFonts w:ascii="Verdana" w:eastAsia="Times New Roman" w:hAnsi="Verdana" w:cs="Arial"/>
          <w:kern w:val="0"/>
          <w:lang w:val="es-ES" w:eastAsia="es-ES"/>
          <w14:ligatures w14:val="none"/>
        </w:rPr>
        <w:t xml:space="preserve">La resolución 221 de 2025 dispuso en su artículo </w:t>
      </w:r>
      <w:r w:rsidR="0026494E">
        <w:rPr>
          <w:rFonts w:ascii="Verdana" w:eastAsia="Times New Roman" w:hAnsi="Verdana" w:cs="Arial"/>
          <w:kern w:val="0"/>
          <w:lang w:val="es-ES" w:eastAsia="es-ES"/>
          <w14:ligatures w14:val="none"/>
        </w:rPr>
        <w:t xml:space="preserve">8 que: </w:t>
      </w:r>
    </w:p>
    <w:p w14:paraId="61D8E51A" w14:textId="77777777" w:rsidR="006A388A" w:rsidRDefault="006A388A" w:rsidP="006A388A">
      <w:pPr>
        <w:spacing w:after="0" w:line="240" w:lineRule="auto"/>
        <w:ind w:left="708"/>
        <w:jc w:val="both"/>
        <w:rPr>
          <w:rFonts w:ascii="Verdana" w:eastAsia="Times New Roman" w:hAnsi="Verdana" w:cs="Arial"/>
          <w:kern w:val="0"/>
          <w:lang w:val="es-ES" w:eastAsia="es-ES"/>
          <w14:ligatures w14:val="none"/>
        </w:rPr>
      </w:pPr>
    </w:p>
    <w:p w14:paraId="75BE7D2F" w14:textId="77777777" w:rsidR="006A388A" w:rsidRPr="006A388A" w:rsidRDefault="006A388A" w:rsidP="006A388A">
      <w:pPr>
        <w:spacing w:after="0" w:line="240" w:lineRule="auto"/>
        <w:ind w:left="708"/>
        <w:jc w:val="both"/>
        <w:rPr>
          <w:rFonts w:ascii="Verdana" w:eastAsia="Times New Roman" w:hAnsi="Verdana" w:cs="Arial"/>
          <w:kern w:val="0"/>
          <w:lang w:eastAsia="es-ES"/>
          <w14:ligatures w14:val="none"/>
        </w:rPr>
      </w:pPr>
      <w:r w:rsidRPr="006A388A">
        <w:rPr>
          <w:rFonts w:ascii="Verdana" w:eastAsia="Times New Roman" w:hAnsi="Verdana" w:cs="Arial"/>
          <w:b/>
          <w:bCs/>
          <w:kern w:val="0"/>
          <w:lang w:eastAsia="es-ES"/>
          <w14:ligatures w14:val="none"/>
        </w:rPr>
        <w:t>Artículo 8°. </w:t>
      </w:r>
      <w:r w:rsidRPr="006A388A">
        <w:rPr>
          <w:rFonts w:ascii="Verdana" w:eastAsia="Times New Roman" w:hAnsi="Verdana" w:cs="Arial"/>
          <w:b/>
          <w:bCs/>
          <w:i/>
          <w:iCs/>
          <w:kern w:val="0"/>
          <w:lang w:eastAsia="es-ES"/>
          <w14:ligatures w14:val="none"/>
        </w:rPr>
        <w:t>Vigencia de la zona de reserva de recursos naturales renovables de carácter temporal</w:t>
      </w:r>
      <w:r w:rsidRPr="006A388A">
        <w:rPr>
          <w:rFonts w:ascii="Verdana" w:eastAsia="Times New Roman" w:hAnsi="Verdana" w:cs="Arial"/>
          <w:b/>
          <w:bCs/>
          <w:kern w:val="0"/>
          <w:lang w:eastAsia="es-ES"/>
          <w14:ligatures w14:val="none"/>
        </w:rPr>
        <w:t>. </w:t>
      </w:r>
      <w:r w:rsidRPr="006A388A">
        <w:rPr>
          <w:rFonts w:ascii="Verdana" w:eastAsia="Times New Roman" w:hAnsi="Verdana" w:cs="Arial"/>
          <w:kern w:val="0"/>
          <w:lang w:eastAsia="es-ES"/>
          <w14:ligatures w14:val="none"/>
        </w:rPr>
        <w:t>El término de vigencia de la zona aquí declarada será de dos (2) años contados a partir de la publicación del presente acto administrativo en el </w:t>
      </w:r>
      <w:r w:rsidRPr="006A388A">
        <w:rPr>
          <w:rFonts w:ascii="Verdana" w:eastAsia="Times New Roman" w:hAnsi="Verdana" w:cs="Arial"/>
          <w:b/>
          <w:bCs/>
          <w:i/>
          <w:iCs/>
          <w:kern w:val="0"/>
          <w:lang w:eastAsia="es-ES"/>
          <w14:ligatures w14:val="none"/>
        </w:rPr>
        <w:t>Diario Oficial</w:t>
      </w:r>
      <w:r w:rsidRPr="006A388A">
        <w:rPr>
          <w:rFonts w:ascii="Verdana" w:eastAsia="Times New Roman" w:hAnsi="Verdana" w:cs="Arial"/>
          <w:kern w:val="0"/>
          <w:lang w:eastAsia="es-ES"/>
          <w14:ligatures w14:val="none"/>
        </w:rPr>
        <w:t>. </w:t>
      </w:r>
    </w:p>
    <w:p w14:paraId="27D5727B" w14:textId="77777777" w:rsidR="006A388A" w:rsidRPr="006A388A" w:rsidRDefault="006A388A" w:rsidP="006A388A">
      <w:pPr>
        <w:spacing w:after="0" w:line="240" w:lineRule="auto"/>
        <w:ind w:left="708"/>
        <w:jc w:val="both"/>
        <w:rPr>
          <w:rFonts w:ascii="Verdana" w:eastAsia="Times New Roman" w:hAnsi="Verdana" w:cs="Arial"/>
          <w:kern w:val="0"/>
          <w:lang w:eastAsia="es-ES"/>
          <w14:ligatures w14:val="none"/>
        </w:rPr>
      </w:pPr>
      <w:r w:rsidRPr="006A388A">
        <w:rPr>
          <w:rFonts w:ascii="Verdana" w:eastAsia="Times New Roman" w:hAnsi="Verdana" w:cs="Arial"/>
          <w:kern w:val="0"/>
          <w:lang w:eastAsia="es-ES"/>
          <w14:ligatures w14:val="none"/>
        </w:rPr>
        <w:t>  </w:t>
      </w:r>
    </w:p>
    <w:p w14:paraId="42959CA5" w14:textId="77777777" w:rsidR="006A388A" w:rsidRPr="006A388A" w:rsidRDefault="006A388A" w:rsidP="006A388A">
      <w:pPr>
        <w:spacing w:after="0" w:line="240" w:lineRule="auto"/>
        <w:ind w:left="708"/>
        <w:jc w:val="both"/>
        <w:rPr>
          <w:rFonts w:ascii="Verdana" w:eastAsia="Times New Roman" w:hAnsi="Verdana" w:cs="Arial"/>
          <w:kern w:val="0"/>
          <w:lang w:eastAsia="es-ES"/>
          <w14:ligatures w14:val="none"/>
        </w:rPr>
      </w:pPr>
      <w:r w:rsidRPr="006A388A">
        <w:rPr>
          <w:rFonts w:ascii="Verdana" w:eastAsia="Times New Roman" w:hAnsi="Verdana" w:cs="Arial"/>
          <w:kern w:val="0"/>
          <w:lang w:eastAsia="es-ES"/>
          <w14:ligatures w14:val="none"/>
        </w:rPr>
        <w:t>Parágrafo. La vigencia de la zona de reserva de recursos naturales aquí declarada podrá ser prorrogada hasta por el mismo término inicialmente definido, con fundamento en el estado de avance del cronograma del que trata el siguiente artículo y con la debida justificación técnica asociada a la necesidad y temporalidad de los estudios requeridos. </w:t>
      </w:r>
    </w:p>
    <w:p w14:paraId="00A7361E" w14:textId="77777777" w:rsidR="006A388A" w:rsidRPr="006A388A" w:rsidRDefault="006A388A" w:rsidP="006A388A">
      <w:pPr>
        <w:spacing w:after="0" w:line="240" w:lineRule="auto"/>
        <w:jc w:val="both"/>
        <w:rPr>
          <w:rFonts w:ascii="Verdana" w:eastAsia="Times New Roman" w:hAnsi="Verdana" w:cs="Arial"/>
          <w:kern w:val="0"/>
          <w:lang w:eastAsia="es-ES"/>
          <w14:ligatures w14:val="none"/>
        </w:rPr>
      </w:pPr>
      <w:r w:rsidRPr="006A388A">
        <w:rPr>
          <w:rFonts w:ascii="Verdana" w:eastAsia="Times New Roman" w:hAnsi="Verdana" w:cs="Arial"/>
          <w:kern w:val="0"/>
          <w:lang w:eastAsia="es-ES"/>
          <w14:ligatures w14:val="none"/>
        </w:rPr>
        <w:t>  </w:t>
      </w:r>
    </w:p>
    <w:p w14:paraId="140A8888" w14:textId="77777777" w:rsidR="006A388A" w:rsidRDefault="006A388A" w:rsidP="00C770FC">
      <w:pPr>
        <w:spacing w:after="0" w:line="240" w:lineRule="auto"/>
        <w:jc w:val="both"/>
        <w:rPr>
          <w:rFonts w:ascii="Verdana" w:eastAsia="Times New Roman" w:hAnsi="Verdana" w:cs="Arial"/>
          <w:kern w:val="0"/>
          <w:lang w:val="es-ES" w:eastAsia="es-ES"/>
          <w14:ligatures w14:val="none"/>
        </w:rPr>
      </w:pPr>
    </w:p>
    <w:p w14:paraId="234B43C0" w14:textId="77777777" w:rsidR="003A6C34" w:rsidRDefault="003A6C34" w:rsidP="003A6C34">
      <w:pPr>
        <w:spacing w:after="0" w:line="240" w:lineRule="auto"/>
        <w:jc w:val="both"/>
        <w:rPr>
          <w:rFonts w:ascii="Verdana" w:eastAsia="Times New Roman" w:hAnsi="Verdana" w:cs="Arial"/>
          <w:kern w:val="0"/>
          <w:lang w:eastAsia="es-ES"/>
          <w14:ligatures w14:val="none"/>
        </w:rPr>
      </w:pPr>
      <w:r w:rsidRPr="003A6C34">
        <w:rPr>
          <w:rFonts w:ascii="Verdana" w:eastAsia="Times New Roman" w:hAnsi="Verdana" w:cs="Arial"/>
          <w:kern w:val="0"/>
          <w:lang w:eastAsia="es-ES"/>
          <w14:ligatures w14:val="none"/>
        </w:rPr>
        <w:t>Que la Resolución 0221 del 3 de marzo de 2025 fue publicada en el Diario Oficial el día 4 de marzo de 2025, razón por la cual la vigencia inicial de la Zona de Reserva de Recursos Naturales Renovables de carácter temporal culmina el día 4 de marzo de 2027.</w:t>
      </w:r>
    </w:p>
    <w:p w14:paraId="1273CCAD" w14:textId="77777777" w:rsidR="00B07B59" w:rsidRPr="003A6C34" w:rsidRDefault="00B07B59" w:rsidP="003A6C34">
      <w:pPr>
        <w:spacing w:after="0" w:line="240" w:lineRule="auto"/>
        <w:jc w:val="both"/>
        <w:rPr>
          <w:rFonts w:ascii="Verdana" w:eastAsia="Times New Roman" w:hAnsi="Verdana" w:cs="Arial"/>
          <w:kern w:val="0"/>
          <w:lang w:eastAsia="es-ES"/>
          <w14:ligatures w14:val="none"/>
        </w:rPr>
      </w:pPr>
    </w:p>
    <w:p w14:paraId="1972DA92" w14:textId="481006FF" w:rsidR="003A6C34" w:rsidRDefault="003A6C34" w:rsidP="003A6C34">
      <w:pPr>
        <w:spacing w:after="0" w:line="240" w:lineRule="auto"/>
        <w:jc w:val="both"/>
        <w:rPr>
          <w:rFonts w:ascii="Verdana" w:eastAsia="Times New Roman" w:hAnsi="Verdana" w:cs="Arial"/>
          <w:kern w:val="0"/>
          <w:lang w:eastAsia="es-ES"/>
          <w14:ligatures w14:val="none"/>
        </w:rPr>
      </w:pPr>
      <w:r w:rsidRPr="003A6C34">
        <w:rPr>
          <w:rFonts w:ascii="Verdana" w:eastAsia="Times New Roman" w:hAnsi="Verdana" w:cs="Arial"/>
          <w:kern w:val="0"/>
          <w:lang w:eastAsia="es-ES"/>
          <w14:ligatures w14:val="none"/>
        </w:rPr>
        <w:t xml:space="preserve">Que la declaratoria de la Zona de Reserva de Recursos Naturales Renovables de carácter temporal tuvo como finalidad garantizar las condiciones necesarias para </w:t>
      </w:r>
      <w:r w:rsidR="00FB3080" w:rsidRPr="00FB3080">
        <w:rPr>
          <w:rFonts w:ascii="Verdana" w:eastAsia="Times New Roman" w:hAnsi="Verdana" w:cs="Arial"/>
          <w:kern w:val="0"/>
          <w:lang w:eastAsia="es-ES"/>
          <w14:ligatures w14:val="none"/>
        </w:rPr>
        <w:t>Adelantar los estudios técnicos necesarios para identificar los mecanismos de ordenamiento ambiental del territorio que permitan la protección efectiva de los recursos naturales renovables y el mantenimiento de los servicios ecosistémicos</w:t>
      </w:r>
      <w:r w:rsidRPr="00FB3080">
        <w:rPr>
          <w:rFonts w:ascii="Verdana" w:eastAsia="Times New Roman" w:hAnsi="Verdana" w:cs="Arial"/>
          <w:kern w:val="0"/>
          <w:lang w:eastAsia="es-ES"/>
          <w14:ligatures w14:val="none"/>
        </w:rPr>
        <w:t>,</w:t>
      </w:r>
      <w:r w:rsidRPr="003A6C34">
        <w:rPr>
          <w:rFonts w:ascii="Verdana" w:eastAsia="Times New Roman" w:hAnsi="Verdana" w:cs="Arial"/>
          <w:kern w:val="0"/>
          <w:lang w:eastAsia="es-ES"/>
          <w14:ligatures w14:val="none"/>
        </w:rPr>
        <w:t xml:space="preserve"> evitando que durante dicho período se consolidaran nuevas situaciones jurídicas que pudieran comprometer los objetivos de conservación perseguidos por la administración ambiental.</w:t>
      </w:r>
    </w:p>
    <w:p w14:paraId="5D523689" w14:textId="55D13DE8" w:rsidR="003A6C34" w:rsidRDefault="003A6C34" w:rsidP="003A6C34">
      <w:pPr>
        <w:spacing w:after="0" w:line="240" w:lineRule="auto"/>
        <w:jc w:val="both"/>
        <w:rPr>
          <w:rFonts w:ascii="Verdana" w:eastAsia="Times New Roman" w:hAnsi="Verdana" w:cs="Arial"/>
          <w:kern w:val="0"/>
          <w:lang w:eastAsia="es-ES"/>
          <w14:ligatures w14:val="none"/>
        </w:rPr>
      </w:pPr>
    </w:p>
    <w:p w14:paraId="4873CCD1" w14:textId="71863F47" w:rsidR="00E44955" w:rsidRPr="00E44955" w:rsidRDefault="00E44955" w:rsidP="00E44955">
      <w:pPr>
        <w:spacing w:after="0" w:line="240" w:lineRule="auto"/>
        <w:jc w:val="both"/>
        <w:rPr>
          <w:rFonts w:ascii="Verdana" w:eastAsia="Times New Roman" w:hAnsi="Verdana" w:cs="Arial"/>
          <w:kern w:val="0"/>
          <w:lang w:eastAsia="es-ES"/>
          <w14:ligatures w14:val="none"/>
        </w:rPr>
      </w:pPr>
      <w:r w:rsidRPr="00E44955">
        <w:rPr>
          <w:rFonts w:ascii="Verdana" w:eastAsia="Times New Roman" w:hAnsi="Verdana" w:cs="Arial"/>
          <w:kern w:val="0"/>
          <w:lang w:eastAsia="es-ES"/>
          <w14:ligatures w14:val="none"/>
        </w:rPr>
        <w:t xml:space="preserve">Que desde la </w:t>
      </w:r>
      <w:proofErr w:type="gramStart"/>
      <w:r w:rsidRPr="00E44955">
        <w:rPr>
          <w:rFonts w:ascii="Verdana" w:eastAsia="Times New Roman" w:hAnsi="Verdana" w:cs="Arial"/>
          <w:kern w:val="0"/>
          <w:lang w:eastAsia="es-ES"/>
          <w14:ligatures w14:val="none"/>
        </w:rPr>
        <w:t>entrada en vigencia</w:t>
      </w:r>
      <w:proofErr w:type="gramEnd"/>
      <w:r w:rsidRPr="00E44955">
        <w:rPr>
          <w:rFonts w:ascii="Verdana" w:eastAsia="Times New Roman" w:hAnsi="Verdana" w:cs="Arial"/>
          <w:kern w:val="0"/>
          <w:lang w:eastAsia="es-ES"/>
          <w14:ligatures w14:val="none"/>
        </w:rPr>
        <w:t xml:space="preserve"> de la Resolución 0221 de 2025, el Ministerio de Ambiente y Desarrollo Sostenible ha adelantado </w:t>
      </w:r>
      <w:r w:rsidR="00FB3080">
        <w:rPr>
          <w:rFonts w:ascii="Verdana" w:eastAsia="Times New Roman" w:hAnsi="Verdana" w:cs="Arial"/>
          <w:kern w:val="0"/>
          <w:lang w:eastAsia="es-ES"/>
          <w14:ligatures w14:val="none"/>
        </w:rPr>
        <w:t>l</w:t>
      </w:r>
      <w:r w:rsidR="00FB3080" w:rsidRPr="00FB3080">
        <w:rPr>
          <w:rFonts w:ascii="Verdana" w:eastAsia="Times New Roman" w:hAnsi="Verdana" w:cs="Arial"/>
          <w:kern w:val="0"/>
          <w:lang w:eastAsia="es-ES"/>
          <w14:ligatures w14:val="none"/>
        </w:rPr>
        <w:t xml:space="preserve">as acciones necesarias para acometer los estudios que hacen parte del cronograma </w:t>
      </w:r>
      <w:r w:rsidRPr="00E44955">
        <w:rPr>
          <w:rFonts w:ascii="Verdana" w:eastAsia="Times New Roman" w:hAnsi="Verdana" w:cs="Arial"/>
          <w:kern w:val="0"/>
          <w:lang w:eastAsia="es-ES"/>
          <w14:ligatures w14:val="none"/>
        </w:rPr>
        <w:t>previstas en el cronograma adoptado mediante el artículo 9 del citado acto administrativo</w:t>
      </w:r>
      <w:r w:rsidR="00FB3080">
        <w:rPr>
          <w:rFonts w:ascii="Verdana" w:eastAsia="Times New Roman" w:hAnsi="Verdana" w:cs="Arial"/>
          <w:kern w:val="0"/>
          <w:lang w:eastAsia="es-ES"/>
          <w14:ligatures w14:val="none"/>
        </w:rPr>
        <w:t>.</w:t>
      </w:r>
    </w:p>
    <w:p w14:paraId="296AB6B0" w14:textId="77777777" w:rsidR="00E44955" w:rsidRPr="00E44955" w:rsidRDefault="00E44955" w:rsidP="00E44955">
      <w:pPr>
        <w:spacing w:after="0" w:line="240" w:lineRule="auto"/>
        <w:jc w:val="both"/>
        <w:rPr>
          <w:rFonts w:ascii="Verdana" w:eastAsia="Times New Roman" w:hAnsi="Verdana" w:cs="Arial"/>
          <w:kern w:val="0"/>
          <w:lang w:eastAsia="es-ES"/>
          <w14:ligatures w14:val="none"/>
        </w:rPr>
      </w:pPr>
    </w:p>
    <w:p w14:paraId="1D855721" w14:textId="4B8EA37C" w:rsidR="00E44955" w:rsidRPr="00E44955" w:rsidRDefault="00E44955" w:rsidP="00E44955">
      <w:pPr>
        <w:spacing w:after="0" w:line="240" w:lineRule="auto"/>
        <w:jc w:val="both"/>
        <w:rPr>
          <w:rFonts w:ascii="Verdana" w:eastAsia="Times New Roman" w:hAnsi="Verdana" w:cs="Arial"/>
          <w:kern w:val="0"/>
          <w:lang w:eastAsia="es-ES"/>
          <w14:ligatures w14:val="none"/>
        </w:rPr>
      </w:pPr>
      <w:r w:rsidRPr="00E44955">
        <w:rPr>
          <w:rFonts w:ascii="Verdana" w:eastAsia="Times New Roman" w:hAnsi="Verdana" w:cs="Arial"/>
          <w:kern w:val="0"/>
          <w:lang w:eastAsia="es-ES"/>
          <w14:ligatures w14:val="none"/>
        </w:rPr>
        <w:t>Que el cronograma actualizado de ejecución de dichas actividades se incorpora como Anexo de la presente resolución y hace parte integral de la misma. En dicho cronograma se identifica el estado de avance de cada una de las actividades programadas, aquellas que han sido culminadas, las que se encuentran en ejecución, las que permanecen pendientes y las razones que justifican la necesidad de prorrogar la vigencia de la Zona de Reserva de Recursos Naturales Renovables de carácter temporal.</w:t>
      </w:r>
    </w:p>
    <w:p w14:paraId="63DF1A50" w14:textId="77777777" w:rsidR="00E44955" w:rsidRPr="00E44955" w:rsidRDefault="00E44955" w:rsidP="00E44955">
      <w:pPr>
        <w:spacing w:after="0" w:line="240" w:lineRule="auto"/>
        <w:jc w:val="both"/>
        <w:rPr>
          <w:rFonts w:ascii="Verdana" w:eastAsia="Times New Roman" w:hAnsi="Verdana" w:cs="Arial"/>
          <w:kern w:val="0"/>
          <w:lang w:eastAsia="es-ES"/>
          <w14:ligatures w14:val="none"/>
        </w:rPr>
      </w:pPr>
    </w:p>
    <w:p w14:paraId="1F6C415E" w14:textId="77777777" w:rsidR="00E44955" w:rsidRPr="00E44955" w:rsidRDefault="00E44955" w:rsidP="00E44955">
      <w:pPr>
        <w:spacing w:after="0" w:line="240" w:lineRule="auto"/>
        <w:jc w:val="both"/>
        <w:rPr>
          <w:rFonts w:ascii="Verdana" w:eastAsia="Times New Roman" w:hAnsi="Verdana" w:cs="Arial"/>
          <w:kern w:val="0"/>
          <w:lang w:eastAsia="es-ES"/>
          <w14:ligatures w14:val="none"/>
        </w:rPr>
      </w:pPr>
      <w:r w:rsidRPr="00E44955">
        <w:rPr>
          <w:rFonts w:ascii="Verdana" w:eastAsia="Times New Roman" w:hAnsi="Verdana" w:cs="Arial"/>
          <w:kern w:val="0"/>
          <w:lang w:eastAsia="es-ES"/>
          <w14:ligatures w14:val="none"/>
        </w:rPr>
        <w:t xml:space="preserve">Que del análisis del cronograma actualizado se evidencia que, si bien el Ministerio de Ambiente y Desarrollo Sostenible ha ejecutado de manera continua </w:t>
      </w:r>
      <w:r w:rsidRPr="00E44955">
        <w:rPr>
          <w:rFonts w:ascii="Verdana" w:eastAsia="Times New Roman" w:hAnsi="Verdana" w:cs="Arial"/>
          <w:kern w:val="0"/>
          <w:lang w:eastAsia="es-ES"/>
          <w14:ligatures w14:val="none"/>
        </w:rPr>
        <w:lastRenderedPageBreak/>
        <w:t xml:space="preserve">y progresiva las actividades previstas, subsisten actuaciones cuya culminación demanda un término adicional al inicialmente previsto, </w:t>
      </w:r>
      <w:proofErr w:type="gramStart"/>
      <w:r w:rsidRPr="00E44955">
        <w:rPr>
          <w:rFonts w:ascii="Verdana" w:eastAsia="Times New Roman" w:hAnsi="Verdana" w:cs="Arial"/>
          <w:kern w:val="0"/>
          <w:lang w:eastAsia="es-ES"/>
          <w14:ligatures w14:val="none"/>
        </w:rPr>
        <w:t>en razón de</w:t>
      </w:r>
      <w:proofErr w:type="gramEnd"/>
      <w:r w:rsidRPr="00E44955">
        <w:rPr>
          <w:rFonts w:ascii="Verdana" w:eastAsia="Times New Roman" w:hAnsi="Verdana" w:cs="Arial"/>
          <w:kern w:val="0"/>
          <w:lang w:eastAsia="es-ES"/>
          <w14:ligatures w14:val="none"/>
        </w:rPr>
        <w:t xml:space="preserve"> la complejidad técnica de los estudios, la necesidad de consolidar y validar la información obtenida y la articulación institucional requerida para su desarrollo.</w:t>
      </w:r>
    </w:p>
    <w:p w14:paraId="39BF9EC2" w14:textId="77777777" w:rsidR="00E44955" w:rsidRPr="00E44955" w:rsidRDefault="00E44955" w:rsidP="00E44955">
      <w:pPr>
        <w:spacing w:after="0" w:line="240" w:lineRule="auto"/>
        <w:jc w:val="both"/>
        <w:rPr>
          <w:rFonts w:ascii="Verdana" w:eastAsia="Times New Roman" w:hAnsi="Verdana" w:cs="Arial"/>
          <w:kern w:val="0"/>
          <w:lang w:eastAsia="es-ES"/>
          <w14:ligatures w14:val="none"/>
        </w:rPr>
      </w:pPr>
    </w:p>
    <w:p w14:paraId="1714655A" w14:textId="77777777" w:rsidR="00E44955" w:rsidRPr="00E44955" w:rsidRDefault="00E44955" w:rsidP="00E44955">
      <w:pPr>
        <w:spacing w:after="0" w:line="240" w:lineRule="auto"/>
        <w:jc w:val="both"/>
        <w:rPr>
          <w:rFonts w:ascii="Verdana" w:eastAsia="Times New Roman" w:hAnsi="Verdana" w:cs="Arial"/>
          <w:kern w:val="0"/>
          <w:lang w:eastAsia="es-ES"/>
          <w14:ligatures w14:val="none"/>
        </w:rPr>
      </w:pPr>
      <w:r w:rsidRPr="00E44955">
        <w:rPr>
          <w:rFonts w:ascii="Verdana" w:eastAsia="Times New Roman" w:hAnsi="Verdana" w:cs="Arial"/>
          <w:kern w:val="0"/>
          <w:lang w:eastAsia="es-ES"/>
          <w14:ligatures w14:val="none"/>
        </w:rPr>
        <w:t>Que, en consecuencia, las actividades pendientes identificadas en el cronograma no podrán culminarse dentro del término inicial de vigencia establecido en el artículo 8 de la Resolución 0221 de 2025, circunstancia que hace necesaria la prórroga de la Zona de Reserva de Recursos Naturales Renovables de carácter temporal con el fin de garantizar la finalización de los estudios que sustentarán las decisiones definitivas de ordenamiento ambiental.</w:t>
      </w:r>
    </w:p>
    <w:p w14:paraId="3835E47F" w14:textId="77777777" w:rsidR="00E44955" w:rsidRPr="00E44955" w:rsidRDefault="00E44955" w:rsidP="00E44955">
      <w:pPr>
        <w:spacing w:after="0" w:line="240" w:lineRule="auto"/>
        <w:jc w:val="both"/>
        <w:rPr>
          <w:rFonts w:ascii="Verdana" w:eastAsia="Times New Roman" w:hAnsi="Verdana" w:cs="Arial"/>
          <w:kern w:val="0"/>
          <w:lang w:eastAsia="es-ES"/>
          <w14:ligatures w14:val="none"/>
        </w:rPr>
      </w:pPr>
    </w:p>
    <w:p w14:paraId="2820DE46" w14:textId="5C18C040" w:rsidR="001D7DD9" w:rsidRPr="00E44955" w:rsidRDefault="00E44955" w:rsidP="003A6C34">
      <w:pPr>
        <w:spacing w:after="0" w:line="240" w:lineRule="auto"/>
        <w:jc w:val="both"/>
        <w:rPr>
          <w:rFonts w:ascii="Verdana" w:eastAsia="Times New Roman" w:hAnsi="Verdana" w:cs="Arial"/>
          <w:kern w:val="0"/>
          <w:lang w:eastAsia="es-ES"/>
          <w14:ligatures w14:val="none"/>
        </w:rPr>
      </w:pPr>
      <w:r w:rsidRPr="00E44955">
        <w:rPr>
          <w:rFonts w:ascii="Verdana" w:eastAsia="Times New Roman" w:hAnsi="Verdana" w:cs="Arial"/>
          <w:kern w:val="0"/>
          <w:lang w:eastAsia="es-ES"/>
          <w14:ligatures w14:val="none"/>
        </w:rPr>
        <w:t xml:space="preserve">Que la culminación de dichas actividades resulta indispensable para garantizar que las decisiones posteriores del Ministerio de Ambiente y Desarrollo Sostenible </w:t>
      </w:r>
      <w:r w:rsidRPr="00FB3080">
        <w:rPr>
          <w:rFonts w:ascii="Verdana" w:eastAsia="Times New Roman" w:hAnsi="Verdana" w:cs="Arial"/>
          <w:kern w:val="0"/>
          <w:lang w:eastAsia="es-ES"/>
          <w14:ligatures w14:val="none"/>
        </w:rPr>
        <w:t>se adopten con fundamento en</w:t>
      </w:r>
      <w:r w:rsidR="00FB3080" w:rsidRPr="00FB3080">
        <w:rPr>
          <w:rFonts w:ascii="Verdana" w:eastAsia="Times New Roman" w:hAnsi="Verdana" w:cs="Arial"/>
          <w:kern w:val="0"/>
          <w:lang w:eastAsia="es-ES"/>
          <w14:ligatures w14:val="none"/>
        </w:rPr>
        <w:t xml:space="preserve"> </w:t>
      </w:r>
      <w:proofErr w:type="spellStart"/>
      <w:r w:rsidR="00FB3080" w:rsidRPr="00FB3080">
        <w:rPr>
          <w:rFonts w:ascii="Verdana" w:eastAsia="Times New Roman" w:hAnsi="Verdana" w:cs="Arial"/>
          <w:kern w:val="0"/>
          <w:lang w:eastAsia="es-ES"/>
          <w14:ligatures w14:val="none"/>
        </w:rPr>
        <w:t>el</w:t>
      </w:r>
      <w:proofErr w:type="spellEnd"/>
      <w:r w:rsidR="00FB3080" w:rsidRPr="00FB3080">
        <w:rPr>
          <w:rFonts w:ascii="Verdana" w:eastAsia="Times New Roman" w:hAnsi="Verdana" w:cs="Arial"/>
          <w:kern w:val="0"/>
          <w:lang w:eastAsia="es-ES"/>
          <w14:ligatures w14:val="none"/>
        </w:rPr>
        <w:t xml:space="preserve"> resultado de los </w:t>
      </w:r>
      <w:proofErr w:type="gramStart"/>
      <w:r w:rsidR="00FB3080" w:rsidRPr="00FB3080">
        <w:rPr>
          <w:rFonts w:ascii="Verdana" w:eastAsia="Times New Roman" w:hAnsi="Verdana" w:cs="Arial"/>
          <w:kern w:val="0"/>
          <w:lang w:eastAsia="es-ES"/>
          <w14:ligatures w14:val="none"/>
        </w:rPr>
        <w:t>estudios técnicos e</w:t>
      </w:r>
      <w:r w:rsidRPr="00FB3080">
        <w:rPr>
          <w:rFonts w:ascii="Verdana" w:eastAsia="Times New Roman" w:hAnsi="Verdana" w:cs="Arial"/>
          <w:kern w:val="0"/>
          <w:lang w:eastAsia="es-ES"/>
          <w14:ligatures w14:val="none"/>
        </w:rPr>
        <w:t xml:space="preserve"> información técnica</w:t>
      </w:r>
      <w:proofErr w:type="gramEnd"/>
      <w:r w:rsidRPr="00FB3080">
        <w:rPr>
          <w:rFonts w:ascii="Verdana" w:eastAsia="Times New Roman" w:hAnsi="Verdana" w:cs="Arial"/>
          <w:kern w:val="0"/>
          <w:lang w:eastAsia="es-ES"/>
          <w14:ligatures w14:val="none"/>
        </w:rPr>
        <w:t>, científica, ambiental y socioeconómica suficiente, actualizada e integral, en observancia de los principios de objetividad, rigor técnico y adecuada motivación</w:t>
      </w:r>
      <w:r w:rsidRPr="00E44955">
        <w:rPr>
          <w:rFonts w:ascii="Verdana" w:eastAsia="Times New Roman" w:hAnsi="Verdana" w:cs="Arial"/>
          <w:kern w:val="0"/>
          <w:lang w:eastAsia="es-ES"/>
          <w14:ligatures w14:val="none"/>
        </w:rPr>
        <w:t xml:space="preserve"> que rigen la función administrativa ambiental.</w:t>
      </w:r>
    </w:p>
    <w:p w14:paraId="4C7E87CC" w14:textId="77777777" w:rsidR="001D7DD9" w:rsidRPr="00E44955" w:rsidRDefault="001D7DD9" w:rsidP="003A6C34">
      <w:pPr>
        <w:spacing w:after="0" w:line="240" w:lineRule="auto"/>
        <w:jc w:val="both"/>
        <w:rPr>
          <w:rFonts w:ascii="Verdana" w:eastAsia="Times New Roman" w:hAnsi="Verdana" w:cs="Arial"/>
          <w:kern w:val="0"/>
          <w:lang w:eastAsia="es-ES"/>
          <w14:ligatures w14:val="none"/>
        </w:rPr>
      </w:pPr>
    </w:p>
    <w:p w14:paraId="5B2E8900" w14:textId="77777777" w:rsidR="003A6C34" w:rsidRPr="00E44955" w:rsidRDefault="003A6C34" w:rsidP="003A6C34">
      <w:pPr>
        <w:spacing w:after="0" w:line="240" w:lineRule="auto"/>
        <w:jc w:val="both"/>
        <w:rPr>
          <w:rFonts w:ascii="Verdana" w:eastAsia="Times New Roman" w:hAnsi="Verdana" w:cs="Arial"/>
          <w:kern w:val="0"/>
          <w:lang w:eastAsia="es-ES"/>
          <w14:ligatures w14:val="none"/>
        </w:rPr>
      </w:pPr>
      <w:r w:rsidRPr="00E44955">
        <w:rPr>
          <w:rFonts w:ascii="Verdana" w:eastAsia="Times New Roman" w:hAnsi="Verdana" w:cs="Arial"/>
          <w:kern w:val="0"/>
          <w:lang w:eastAsia="es-ES"/>
          <w14:ligatures w14:val="none"/>
        </w:rPr>
        <w:t>Que, de no mantenerse vigente la Zona de Reserva de Recursos Naturales Renovables de carácter temporal mientras culminan los estudios en curso, podrían consolidarse nuevas situaciones jurídicas relacionadas con el otorgamiento de derechos o expectativas sobre el uso y aprovechamiento de los recursos naturales renovables presentes en el área objeto de evaluación, circunstancia que podría dificultar, limitar o comprometer la eficacia de las decisiones definitivas que deba adoptar la autoridad ambiental nacional como resultado de dichos estudios.</w:t>
      </w:r>
    </w:p>
    <w:p w14:paraId="5FF5D9EC" w14:textId="77777777" w:rsidR="003A6C34" w:rsidRPr="00E44955" w:rsidRDefault="003A6C34" w:rsidP="003A6C34">
      <w:pPr>
        <w:spacing w:after="0" w:line="240" w:lineRule="auto"/>
        <w:jc w:val="both"/>
        <w:rPr>
          <w:rFonts w:ascii="Verdana" w:eastAsia="Times New Roman" w:hAnsi="Verdana" w:cs="Arial"/>
          <w:kern w:val="0"/>
          <w:lang w:eastAsia="es-ES"/>
          <w14:ligatures w14:val="none"/>
        </w:rPr>
      </w:pPr>
    </w:p>
    <w:p w14:paraId="234AAA9B" w14:textId="77777777" w:rsidR="003A6C34" w:rsidRDefault="003A6C34" w:rsidP="003A6C34">
      <w:pPr>
        <w:spacing w:after="0" w:line="240" w:lineRule="auto"/>
        <w:jc w:val="both"/>
        <w:rPr>
          <w:rFonts w:ascii="Verdana" w:eastAsia="Times New Roman" w:hAnsi="Verdana" w:cs="Arial"/>
          <w:kern w:val="0"/>
          <w:lang w:eastAsia="es-ES"/>
          <w14:ligatures w14:val="none"/>
        </w:rPr>
      </w:pPr>
      <w:r w:rsidRPr="00E44955">
        <w:rPr>
          <w:rFonts w:ascii="Verdana" w:eastAsia="Times New Roman" w:hAnsi="Verdana" w:cs="Arial"/>
          <w:kern w:val="0"/>
          <w:lang w:eastAsia="es-ES"/>
          <w14:ligatures w14:val="none"/>
        </w:rPr>
        <w:t>Que, en tal sentido, la permanencia temporal d</w:t>
      </w:r>
      <w:r w:rsidRPr="003A6C34">
        <w:rPr>
          <w:rFonts w:ascii="Verdana" w:eastAsia="Times New Roman" w:hAnsi="Verdana" w:cs="Arial"/>
          <w:kern w:val="0"/>
          <w:lang w:eastAsia="es-ES"/>
          <w14:ligatures w14:val="none"/>
        </w:rPr>
        <w:t>e la medida preventiva continúa siendo necesaria para garantizar que el proceso de evaluación ambiental pueda desarrollarse en condiciones de estabilidad jurídica y técnica, evitando que durante el tiempo estrictamente requerido para culminar los estudios se generen nuevas circunstancias que alteren el estado actual del territorio objeto de análisis.</w:t>
      </w:r>
    </w:p>
    <w:p w14:paraId="669F7775" w14:textId="77777777" w:rsidR="003A6C34" w:rsidRPr="003A6C34" w:rsidRDefault="003A6C34" w:rsidP="003A6C34">
      <w:pPr>
        <w:spacing w:after="0" w:line="240" w:lineRule="auto"/>
        <w:jc w:val="both"/>
        <w:rPr>
          <w:rFonts w:ascii="Verdana" w:eastAsia="Times New Roman" w:hAnsi="Verdana" w:cs="Arial"/>
          <w:kern w:val="0"/>
          <w:lang w:eastAsia="es-ES"/>
          <w14:ligatures w14:val="none"/>
        </w:rPr>
      </w:pPr>
    </w:p>
    <w:p w14:paraId="027FBB7A" w14:textId="77777777" w:rsidR="003A6C34" w:rsidRDefault="003A6C34" w:rsidP="003A6C34">
      <w:pPr>
        <w:spacing w:after="0" w:line="240" w:lineRule="auto"/>
        <w:jc w:val="both"/>
        <w:rPr>
          <w:rFonts w:ascii="Verdana" w:eastAsia="Times New Roman" w:hAnsi="Verdana" w:cs="Arial"/>
          <w:kern w:val="0"/>
          <w:lang w:eastAsia="es-ES"/>
          <w14:ligatures w14:val="none"/>
        </w:rPr>
      </w:pPr>
      <w:r w:rsidRPr="003A6C34">
        <w:rPr>
          <w:rFonts w:ascii="Verdana" w:eastAsia="Times New Roman" w:hAnsi="Verdana" w:cs="Arial"/>
          <w:kern w:val="0"/>
          <w:lang w:eastAsia="es-ES"/>
          <w14:ligatures w14:val="none"/>
        </w:rPr>
        <w:t>Que, adicionalmente, tratándose de ecosistemas estratégicos de alta montaña y de sistemas hidrogeológicos complejos, respecto de los cuales aún se desarrollan estudios orientados a comprender integralmente sus dinámicas ecológicas, hidrológicas e hidrogeológicas, resulta procedente la aplicación del principio de precaución como criterio complementario de actuación administrativa, conforme al cual, cuando exista incertidumbre científica sobre la magnitud o alcance de posibles afectaciones ambientales graves o irreversibles, las autoridades deberán adoptar medidas eficaces y proporcionadas encaminadas a evitar la materialización del daño, sin que la ausencia de certeza científica absoluta constituya razón para aplazar su adopción.</w:t>
      </w:r>
    </w:p>
    <w:p w14:paraId="10FDF0C7" w14:textId="77777777" w:rsidR="003A6C34" w:rsidRPr="003A6C34" w:rsidRDefault="003A6C34" w:rsidP="003A6C34">
      <w:pPr>
        <w:spacing w:after="0" w:line="240" w:lineRule="auto"/>
        <w:jc w:val="both"/>
        <w:rPr>
          <w:rFonts w:ascii="Verdana" w:eastAsia="Times New Roman" w:hAnsi="Verdana" w:cs="Arial"/>
          <w:kern w:val="0"/>
          <w:lang w:eastAsia="es-ES"/>
          <w14:ligatures w14:val="none"/>
        </w:rPr>
      </w:pPr>
    </w:p>
    <w:p w14:paraId="7947EF83" w14:textId="71C9C3B4" w:rsidR="003A6C34" w:rsidRDefault="003A6C34" w:rsidP="003A6C34">
      <w:pPr>
        <w:spacing w:after="0" w:line="240" w:lineRule="auto"/>
        <w:jc w:val="both"/>
        <w:rPr>
          <w:rFonts w:ascii="Verdana" w:eastAsia="Times New Roman" w:hAnsi="Verdana" w:cs="Arial"/>
          <w:kern w:val="0"/>
          <w:lang w:eastAsia="es-ES"/>
          <w14:ligatures w14:val="none"/>
        </w:rPr>
      </w:pPr>
      <w:r w:rsidRPr="003A6C34">
        <w:rPr>
          <w:rFonts w:ascii="Verdana" w:eastAsia="Times New Roman" w:hAnsi="Verdana" w:cs="Arial"/>
          <w:kern w:val="0"/>
          <w:lang w:eastAsia="es-ES"/>
          <w14:ligatures w14:val="none"/>
        </w:rPr>
        <w:t xml:space="preserve">Que la prórroga de la vigencia de la Zona de Reserva de Recursos Naturales Renovables de carácter </w:t>
      </w:r>
      <w:r>
        <w:rPr>
          <w:rFonts w:ascii="Verdana" w:eastAsia="Times New Roman" w:hAnsi="Verdana" w:cs="Arial"/>
          <w:kern w:val="0"/>
          <w:lang w:eastAsia="es-ES"/>
          <w14:ligatures w14:val="none"/>
        </w:rPr>
        <w:t xml:space="preserve">temporal es </w:t>
      </w:r>
      <w:r w:rsidRPr="003A6C34">
        <w:rPr>
          <w:rFonts w:ascii="Verdana" w:eastAsia="Times New Roman" w:hAnsi="Verdana" w:cs="Arial"/>
          <w:kern w:val="0"/>
          <w:lang w:eastAsia="es-ES"/>
          <w14:ligatures w14:val="none"/>
        </w:rPr>
        <w:t>una medida necesaria, idónea y proporcional para garantizar la culminación de los estudios técnicos actualmente en desarrollo, en la medida en que mantiene transitoriamente las condiciones de protección establecidas mediante la Resolución 0221 de 2025 únicamente durante el tiempo adicional estrictamente requerido para finalizar las actividades pendientes, sin modificar el objeto, alcance ni naturaleza jurídica de la medida originalmente adoptada.</w:t>
      </w:r>
    </w:p>
    <w:p w14:paraId="2DD1B6E0" w14:textId="77777777" w:rsidR="003A6C34" w:rsidRPr="003A6C34" w:rsidRDefault="003A6C34" w:rsidP="003A6C34">
      <w:pPr>
        <w:spacing w:after="0" w:line="240" w:lineRule="auto"/>
        <w:jc w:val="both"/>
        <w:rPr>
          <w:rFonts w:ascii="Verdana" w:eastAsia="Times New Roman" w:hAnsi="Verdana" w:cs="Arial"/>
          <w:kern w:val="0"/>
          <w:lang w:eastAsia="es-ES"/>
          <w14:ligatures w14:val="none"/>
        </w:rPr>
      </w:pPr>
    </w:p>
    <w:p w14:paraId="57BC7DA3" w14:textId="77777777" w:rsidR="003A6C34" w:rsidRDefault="003A6C34" w:rsidP="003A6C34">
      <w:pPr>
        <w:spacing w:after="0" w:line="240" w:lineRule="auto"/>
        <w:jc w:val="both"/>
        <w:rPr>
          <w:rFonts w:ascii="Verdana" w:eastAsia="Times New Roman" w:hAnsi="Verdana" w:cs="Arial"/>
          <w:kern w:val="0"/>
          <w:lang w:eastAsia="es-ES"/>
          <w14:ligatures w14:val="none"/>
        </w:rPr>
      </w:pPr>
      <w:r w:rsidRPr="003A6C34">
        <w:rPr>
          <w:rFonts w:ascii="Verdana" w:eastAsia="Times New Roman" w:hAnsi="Verdana" w:cs="Arial"/>
          <w:kern w:val="0"/>
          <w:lang w:eastAsia="es-ES"/>
          <w14:ligatures w14:val="none"/>
        </w:rPr>
        <w:lastRenderedPageBreak/>
        <w:t>Que la prórroga prevista en el presente acto administrativo no implica la creación de una nueva Zona de Reserva de Recursos Naturales Renovables ni la imposición de restricciones adicionales a las establecidas mediante la Resolución 0221 de 2025, sino exclusivamente la extensión temporal de su vigencia dentro del término máximo expresamente autorizado por el parágrafo del artículo 8 de dicho acto administrativo, con fundamento en el estado de avance del cronograma y en la necesidad técnica de culminar los estudios que sustentarán las decisiones definitivas de ordenamiento ambiental.</w:t>
      </w:r>
    </w:p>
    <w:p w14:paraId="65A70E90" w14:textId="77777777" w:rsidR="006916DD" w:rsidRPr="003A6C34" w:rsidRDefault="006916DD" w:rsidP="003A6C34">
      <w:pPr>
        <w:spacing w:after="0" w:line="240" w:lineRule="auto"/>
        <w:jc w:val="both"/>
        <w:rPr>
          <w:rFonts w:ascii="Verdana" w:eastAsia="Times New Roman" w:hAnsi="Verdana" w:cs="Arial"/>
          <w:kern w:val="0"/>
          <w:lang w:eastAsia="es-ES"/>
          <w14:ligatures w14:val="none"/>
        </w:rPr>
      </w:pPr>
    </w:p>
    <w:p w14:paraId="752CA928" w14:textId="77777777" w:rsidR="003A6C34" w:rsidRPr="003A6C34" w:rsidRDefault="003A6C34" w:rsidP="003A6C34">
      <w:pPr>
        <w:spacing w:after="0" w:line="240" w:lineRule="auto"/>
        <w:jc w:val="both"/>
        <w:rPr>
          <w:rFonts w:ascii="Verdana" w:eastAsia="Times New Roman" w:hAnsi="Verdana" w:cs="Arial"/>
          <w:kern w:val="0"/>
          <w:lang w:eastAsia="es-ES"/>
          <w14:ligatures w14:val="none"/>
        </w:rPr>
      </w:pPr>
      <w:r w:rsidRPr="003A6C34">
        <w:rPr>
          <w:rFonts w:ascii="Verdana" w:eastAsia="Times New Roman" w:hAnsi="Verdana" w:cs="Arial"/>
          <w:kern w:val="0"/>
          <w:lang w:eastAsia="es-ES"/>
          <w14:ligatures w14:val="none"/>
        </w:rPr>
        <w:t>Que, en consecuencia, el Ministerio de Ambiente y Desarrollo Sostenible encuentra acreditados los presupuestos previstos en el parágrafo del artículo 8 de la Resolución 0221 de 2025 para prorrogar la vigencia de la Zona de Reserva de Recursos Naturales Renovables de carácter temporal por un período adicional de dos (2) años, toda vez que el estado de avance del cronograma evidencia la ejecución efectiva de las actividades programadas, subsisten actuaciones técnicas indispensables para su culminación y persisten las razones ambientales que motivaron la adopción de la medida temporal.</w:t>
      </w:r>
    </w:p>
    <w:p w14:paraId="4B7A2BB8" w14:textId="77777777" w:rsidR="003A6C34" w:rsidRDefault="003A6C34" w:rsidP="00C770FC">
      <w:pPr>
        <w:spacing w:after="0" w:line="240" w:lineRule="auto"/>
        <w:jc w:val="both"/>
        <w:rPr>
          <w:rFonts w:ascii="Verdana" w:eastAsia="Times New Roman" w:hAnsi="Verdana" w:cs="Arial"/>
          <w:kern w:val="0"/>
          <w:lang w:val="es-ES" w:eastAsia="es-ES"/>
          <w14:ligatures w14:val="none"/>
        </w:rPr>
      </w:pPr>
    </w:p>
    <w:p w14:paraId="010ABB73" w14:textId="77777777" w:rsidR="003A6C34" w:rsidRDefault="003A6C34" w:rsidP="00C770FC">
      <w:pPr>
        <w:spacing w:after="0" w:line="240" w:lineRule="auto"/>
        <w:jc w:val="both"/>
        <w:rPr>
          <w:rFonts w:ascii="Verdana" w:eastAsia="Times New Roman" w:hAnsi="Verdana" w:cs="Arial"/>
          <w:kern w:val="0"/>
          <w:lang w:val="es-ES" w:eastAsia="es-ES"/>
          <w14:ligatures w14:val="none"/>
        </w:rPr>
      </w:pPr>
    </w:p>
    <w:p w14:paraId="3E80DB8E" w14:textId="03DD5BAB" w:rsidR="00C770FC" w:rsidRPr="00C770FC" w:rsidRDefault="00C770FC" w:rsidP="00C770FC">
      <w:pPr>
        <w:spacing w:after="0" w:line="240" w:lineRule="auto"/>
        <w:jc w:val="both"/>
        <w:rPr>
          <w:rFonts w:ascii="Verdana" w:eastAsia="Times New Roman" w:hAnsi="Verdana" w:cs="Arial"/>
          <w:kern w:val="0"/>
          <w:lang w:val="es-ES" w:eastAsia="es-ES"/>
          <w14:ligatures w14:val="none"/>
        </w:rPr>
      </w:pPr>
      <w:r w:rsidRPr="00C770FC">
        <w:rPr>
          <w:rFonts w:ascii="Verdana" w:eastAsia="Times New Roman" w:hAnsi="Verdana" w:cs="Arial"/>
          <w:kern w:val="0"/>
          <w:lang w:val="es-ES" w:eastAsia="es-ES"/>
          <w14:ligatures w14:val="none"/>
        </w:rPr>
        <w:t xml:space="preserve">En mérito de lo expuesto, </w:t>
      </w:r>
    </w:p>
    <w:p w14:paraId="368F8698" w14:textId="04B064B7" w:rsidR="00C770FC" w:rsidRDefault="00C770FC" w:rsidP="00C770FC">
      <w:pPr>
        <w:spacing w:after="0" w:line="240" w:lineRule="auto"/>
        <w:rPr>
          <w:rFonts w:ascii="Verdana" w:eastAsia="Verdana" w:hAnsi="Verdana" w:cs="Verdana"/>
          <w:b/>
          <w:bCs/>
        </w:rPr>
      </w:pPr>
    </w:p>
    <w:p w14:paraId="2A6A25E6" w14:textId="77777777" w:rsidR="00833CE4" w:rsidRPr="00833CE4" w:rsidRDefault="00833CE4" w:rsidP="00833CE4">
      <w:pPr>
        <w:spacing w:after="0" w:line="240" w:lineRule="auto"/>
        <w:jc w:val="both"/>
        <w:rPr>
          <w:rFonts w:ascii="Verdana" w:eastAsia="Verdana" w:hAnsi="Verdana" w:cs="Verdana"/>
        </w:rPr>
      </w:pPr>
    </w:p>
    <w:p w14:paraId="5177FF00" w14:textId="77777777" w:rsidR="00833CE4" w:rsidRDefault="00833CE4" w:rsidP="00833CE4">
      <w:pPr>
        <w:spacing w:after="0" w:line="240" w:lineRule="auto"/>
        <w:jc w:val="center"/>
        <w:rPr>
          <w:rFonts w:ascii="Verdana" w:eastAsia="Verdana" w:hAnsi="Verdana" w:cs="Verdana"/>
          <w:b/>
          <w:bCs/>
        </w:rPr>
      </w:pPr>
      <w:r w:rsidRPr="00833CE4">
        <w:rPr>
          <w:rFonts w:ascii="Verdana" w:eastAsia="Verdana" w:hAnsi="Verdana" w:cs="Verdana"/>
          <w:b/>
          <w:bCs/>
        </w:rPr>
        <w:t>RESUELVE:</w:t>
      </w:r>
    </w:p>
    <w:p w14:paraId="43CCF2F6" w14:textId="77777777" w:rsidR="00833CE4" w:rsidRPr="00833CE4" w:rsidRDefault="00833CE4" w:rsidP="00833CE4">
      <w:pPr>
        <w:spacing w:after="0" w:line="240" w:lineRule="auto"/>
        <w:jc w:val="center"/>
        <w:rPr>
          <w:rFonts w:ascii="Verdana" w:eastAsia="Verdana" w:hAnsi="Verdana" w:cs="Verdana"/>
          <w:b/>
          <w:bCs/>
        </w:rPr>
      </w:pPr>
    </w:p>
    <w:p w14:paraId="6A6E8642" w14:textId="73EAB9E3" w:rsidR="00D53E67" w:rsidRPr="002724A1" w:rsidRDefault="002724A1" w:rsidP="009275C0">
      <w:pPr>
        <w:spacing w:after="0" w:line="240" w:lineRule="auto"/>
        <w:jc w:val="both"/>
        <w:rPr>
          <w:rFonts w:ascii="Verdana" w:eastAsia="Verdana" w:hAnsi="Verdana" w:cs="Verdana"/>
        </w:rPr>
      </w:pPr>
      <w:r>
        <w:rPr>
          <w:rFonts w:ascii="Verdana" w:eastAsia="Verdana" w:hAnsi="Verdana" w:cs="Verdana"/>
          <w:b/>
          <w:bCs/>
        </w:rPr>
        <w:t>Artículo 1.</w:t>
      </w:r>
      <w:r w:rsidR="001B025D">
        <w:rPr>
          <w:rFonts w:ascii="Verdana" w:eastAsia="Verdana" w:hAnsi="Verdana" w:cs="Verdana"/>
          <w:b/>
          <w:bCs/>
        </w:rPr>
        <w:t xml:space="preserve"> Objeto.</w:t>
      </w:r>
      <w:r>
        <w:rPr>
          <w:rFonts w:ascii="Verdana" w:eastAsia="Verdana" w:hAnsi="Verdana" w:cs="Verdana"/>
          <w:b/>
          <w:bCs/>
        </w:rPr>
        <w:t xml:space="preserve"> </w:t>
      </w:r>
      <w:r w:rsidRPr="002724A1">
        <w:rPr>
          <w:rFonts w:ascii="Verdana" w:eastAsia="Verdana" w:hAnsi="Verdana" w:cs="Verdana"/>
        </w:rPr>
        <w:t>La presente resolución tiene por objeto modificar la Resolución 0221 del 3 de marzo de 2025, corregida por la Resolución 0239 del 6 de marzo de 2025, en el sentido de actualizar el área geográfica efectiva y precisar la cartografía de la Zona de Reserva de Recursos Naturales Renovables de carácter temporal, prorrogar su vigencia y adoptar las demás disposiciones necesarias para la adecuada ejecución de la medida.</w:t>
      </w:r>
    </w:p>
    <w:p w14:paraId="76B35CC6" w14:textId="77777777" w:rsidR="00D53E67" w:rsidRDefault="00D53E67" w:rsidP="009275C0">
      <w:pPr>
        <w:spacing w:after="0" w:line="240" w:lineRule="auto"/>
        <w:jc w:val="both"/>
        <w:rPr>
          <w:rFonts w:ascii="Verdana" w:eastAsia="Verdana" w:hAnsi="Verdana" w:cs="Verdana"/>
          <w:b/>
          <w:bCs/>
        </w:rPr>
      </w:pPr>
    </w:p>
    <w:p w14:paraId="554E5F3B" w14:textId="11EBC2F9" w:rsidR="009275C0" w:rsidRDefault="009275C0" w:rsidP="009275C0">
      <w:pPr>
        <w:spacing w:after="0" w:line="240" w:lineRule="auto"/>
        <w:jc w:val="both"/>
        <w:rPr>
          <w:rFonts w:ascii="Verdana" w:eastAsia="Verdana" w:hAnsi="Verdana" w:cs="Verdana"/>
        </w:rPr>
      </w:pPr>
      <w:r w:rsidRPr="009275C0">
        <w:rPr>
          <w:rFonts w:ascii="Verdana" w:eastAsia="Verdana" w:hAnsi="Verdana" w:cs="Verdana"/>
          <w:b/>
          <w:bCs/>
        </w:rPr>
        <w:t xml:space="preserve">Artículo </w:t>
      </w:r>
      <w:r w:rsidR="00B67DFE">
        <w:rPr>
          <w:rFonts w:ascii="Verdana" w:eastAsia="Verdana" w:hAnsi="Verdana" w:cs="Verdana"/>
          <w:b/>
          <w:bCs/>
        </w:rPr>
        <w:t>2</w:t>
      </w:r>
      <w:r w:rsidRPr="009275C0">
        <w:rPr>
          <w:rFonts w:ascii="Verdana" w:eastAsia="Verdana" w:hAnsi="Verdana" w:cs="Verdana"/>
          <w:b/>
          <w:bCs/>
        </w:rPr>
        <w:t>. Modificación del artículo 2 de la Resolución 0221 de 2025.</w:t>
      </w:r>
      <w:r w:rsidRPr="009275C0">
        <w:rPr>
          <w:rFonts w:ascii="Verdana" w:eastAsia="Verdana" w:hAnsi="Verdana" w:cs="Verdana"/>
        </w:rPr>
        <w:t xml:space="preserve"> Modifíquese el artículo 2 de la Resolución 0221 del 3 de marzo de 2025, corregido por la Resolución 0239 del 6 de marzo de 2025, el cual quedará así:</w:t>
      </w:r>
    </w:p>
    <w:p w14:paraId="569A9221" w14:textId="77777777" w:rsidR="009275C0" w:rsidRPr="009275C0" w:rsidRDefault="009275C0" w:rsidP="009275C0">
      <w:pPr>
        <w:spacing w:after="0" w:line="240" w:lineRule="auto"/>
        <w:jc w:val="both"/>
        <w:rPr>
          <w:rFonts w:ascii="Verdana" w:eastAsia="Verdana" w:hAnsi="Verdana" w:cs="Verdana"/>
        </w:rPr>
      </w:pPr>
    </w:p>
    <w:p w14:paraId="3AA833D3" w14:textId="73805DB5" w:rsidR="009275C0" w:rsidRPr="009275C0" w:rsidRDefault="009275C0" w:rsidP="009275C0">
      <w:pPr>
        <w:spacing w:after="0" w:line="240" w:lineRule="auto"/>
        <w:ind w:left="708"/>
        <w:jc w:val="both"/>
        <w:rPr>
          <w:rFonts w:ascii="Verdana" w:eastAsia="Verdana" w:hAnsi="Verdana" w:cs="Verdana"/>
        </w:rPr>
      </w:pPr>
      <w:r w:rsidRPr="009275C0">
        <w:rPr>
          <w:rFonts w:ascii="Verdana" w:eastAsia="Verdana" w:hAnsi="Verdana" w:cs="Verdana"/>
          <w:b/>
          <w:bCs/>
        </w:rPr>
        <w:t>"Artículo 2. Área geográfica efectiva.</w:t>
      </w:r>
      <w:r w:rsidRPr="009275C0">
        <w:rPr>
          <w:rFonts w:ascii="Verdana" w:eastAsia="Verdana" w:hAnsi="Verdana" w:cs="Verdana"/>
        </w:rPr>
        <w:t xml:space="preserve"> El área geográfica efectiva de la Zona de Reserva de Recursos Naturales Renovables de carácter temporal </w:t>
      </w:r>
      <w:r w:rsidRPr="001B025D">
        <w:rPr>
          <w:rFonts w:ascii="Verdana" w:eastAsia="Verdana" w:hAnsi="Verdana" w:cs="Verdana"/>
        </w:rPr>
        <w:t xml:space="preserve">declarada mediante la presente resolución corresponde a </w:t>
      </w:r>
      <w:r w:rsidR="002A6E0C">
        <w:rPr>
          <w:rFonts w:ascii="Verdana" w:eastAsia="Verdana" w:hAnsi="Verdana" w:cs="Verdana"/>
        </w:rPr>
        <w:t>75.432,42</w:t>
      </w:r>
      <w:r w:rsidRPr="001B025D">
        <w:rPr>
          <w:rFonts w:ascii="Verdana" w:eastAsia="Verdana" w:hAnsi="Verdana" w:cs="Verdana"/>
        </w:rPr>
        <w:t xml:space="preserve"> hectáreas, delimitadas en el polígono definido mediante la salida gráfica contenida en el Anexo 1 y el archivo digital en formato </w:t>
      </w:r>
      <w:proofErr w:type="spellStart"/>
      <w:r w:rsidRPr="001B025D">
        <w:rPr>
          <w:rFonts w:ascii="Verdana" w:eastAsia="Verdana" w:hAnsi="Verdana" w:cs="Verdana"/>
          <w:i/>
          <w:iCs/>
        </w:rPr>
        <w:t>shapefile</w:t>
      </w:r>
      <w:proofErr w:type="spellEnd"/>
      <w:r w:rsidRPr="001B025D">
        <w:rPr>
          <w:rFonts w:ascii="Verdana" w:eastAsia="Verdana" w:hAnsi="Verdana" w:cs="Verdana"/>
        </w:rPr>
        <w:t xml:space="preserve"> contenido en el Anexo 2, los cuales hacen parte integral del presente acto administrativo."</w:t>
      </w:r>
    </w:p>
    <w:p w14:paraId="44B367C8" w14:textId="77777777" w:rsidR="009275C0" w:rsidRDefault="009275C0" w:rsidP="00833CE4">
      <w:pPr>
        <w:spacing w:after="0" w:line="240" w:lineRule="auto"/>
        <w:jc w:val="both"/>
        <w:rPr>
          <w:rFonts w:ascii="Verdana" w:eastAsia="Verdana" w:hAnsi="Verdana" w:cs="Verdana"/>
        </w:rPr>
      </w:pPr>
    </w:p>
    <w:p w14:paraId="4C158719" w14:textId="529B03DB" w:rsidR="00324750" w:rsidRDefault="00324750" w:rsidP="00324750">
      <w:pPr>
        <w:spacing w:after="0" w:line="240" w:lineRule="auto"/>
        <w:jc w:val="both"/>
        <w:rPr>
          <w:rFonts w:ascii="Verdana" w:eastAsia="Verdana" w:hAnsi="Verdana" w:cs="Verdana"/>
        </w:rPr>
      </w:pPr>
      <w:r w:rsidRPr="00324750">
        <w:rPr>
          <w:rFonts w:ascii="Verdana" w:eastAsia="Verdana" w:hAnsi="Verdana" w:cs="Verdana"/>
          <w:b/>
          <w:bCs/>
        </w:rPr>
        <w:t xml:space="preserve">Artículo </w:t>
      </w:r>
      <w:r w:rsidR="0075731F">
        <w:rPr>
          <w:rFonts w:ascii="Verdana" w:eastAsia="Verdana" w:hAnsi="Verdana" w:cs="Verdana"/>
          <w:b/>
          <w:bCs/>
        </w:rPr>
        <w:t>3</w:t>
      </w:r>
      <w:r w:rsidRPr="00324750">
        <w:rPr>
          <w:rFonts w:ascii="Verdana" w:eastAsia="Verdana" w:hAnsi="Verdana" w:cs="Verdana"/>
          <w:b/>
          <w:bCs/>
        </w:rPr>
        <w:t>. Actualización de los anexos cartográficos.</w:t>
      </w:r>
      <w:r w:rsidRPr="00324750">
        <w:rPr>
          <w:rFonts w:ascii="Verdana" w:eastAsia="Verdana" w:hAnsi="Verdana" w:cs="Verdana"/>
        </w:rPr>
        <w:t xml:space="preserve"> Actualícense los Anexos 1 y 2 de la Resolución 0221 de 2025, incorporando al área geográfica efectiva de la Zona de Reserva de Recursos Naturales Renovables de carácter temporal:</w:t>
      </w:r>
    </w:p>
    <w:p w14:paraId="23D9F6A8" w14:textId="77777777" w:rsidR="00324750" w:rsidRPr="00324750" w:rsidRDefault="00324750" w:rsidP="00324750">
      <w:pPr>
        <w:spacing w:after="0" w:line="240" w:lineRule="auto"/>
        <w:jc w:val="both"/>
        <w:rPr>
          <w:rFonts w:ascii="Verdana" w:eastAsia="Verdana" w:hAnsi="Verdana" w:cs="Verdana"/>
        </w:rPr>
      </w:pPr>
    </w:p>
    <w:p w14:paraId="70ECB54D" w14:textId="77777777" w:rsidR="00324750" w:rsidRPr="001B025D" w:rsidRDefault="00324750" w:rsidP="00324750">
      <w:pPr>
        <w:numPr>
          <w:ilvl w:val="0"/>
          <w:numId w:val="17"/>
        </w:numPr>
        <w:spacing w:after="0" w:line="240" w:lineRule="auto"/>
        <w:jc w:val="both"/>
        <w:rPr>
          <w:rFonts w:ascii="Verdana" w:eastAsia="Verdana" w:hAnsi="Verdana" w:cs="Verdana"/>
        </w:rPr>
      </w:pPr>
      <w:r w:rsidRPr="001B025D">
        <w:rPr>
          <w:rFonts w:ascii="Verdana" w:eastAsia="Verdana" w:hAnsi="Verdana" w:cs="Verdana"/>
        </w:rPr>
        <w:t xml:space="preserve">El polígono correspondiente a la Zona Reservada con Potencial – ZRP Bloque No. 736, ubicada en jurisdicción de los municipios de California y Vetas, departamento de Santander. </w:t>
      </w:r>
    </w:p>
    <w:p w14:paraId="43F44867" w14:textId="77777777" w:rsidR="00324750" w:rsidRPr="001B025D" w:rsidRDefault="00324750" w:rsidP="00324750">
      <w:pPr>
        <w:numPr>
          <w:ilvl w:val="0"/>
          <w:numId w:val="17"/>
        </w:numPr>
        <w:spacing w:after="0" w:line="240" w:lineRule="auto"/>
        <w:jc w:val="both"/>
        <w:rPr>
          <w:rFonts w:ascii="Verdana" w:eastAsia="Verdana" w:hAnsi="Verdana" w:cs="Verdana"/>
        </w:rPr>
      </w:pPr>
      <w:r w:rsidRPr="001B025D">
        <w:rPr>
          <w:rFonts w:ascii="Verdana" w:eastAsia="Verdana" w:hAnsi="Verdana" w:cs="Verdana"/>
        </w:rPr>
        <w:t xml:space="preserve">El polígono correspondiente a la solicitud de Área de Reserva Especial identificada con placa ARE-503563, ubicada en jurisdicción del municipio de Suratá, departamento de Santander. </w:t>
      </w:r>
    </w:p>
    <w:p w14:paraId="0D8A73F5" w14:textId="77777777" w:rsidR="00324750" w:rsidRPr="001B025D" w:rsidRDefault="00324750" w:rsidP="00324750">
      <w:pPr>
        <w:spacing w:after="0" w:line="240" w:lineRule="auto"/>
        <w:jc w:val="both"/>
        <w:rPr>
          <w:rFonts w:ascii="Verdana" w:eastAsia="Verdana" w:hAnsi="Verdana" w:cs="Verdana"/>
        </w:rPr>
      </w:pPr>
      <w:r w:rsidRPr="001B025D">
        <w:rPr>
          <w:rFonts w:ascii="Verdana" w:eastAsia="Verdana" w:hAnsi="Verdana" w:cs="Verdana"/>
        </w:rPr>
        <w:t>Los anexos actualizados hacen parte integral de la presente resolución.</w:t>
      </w:r>
    </w:p>
    <w:p w14:paraId="1236DD82" w14:textId="77777777" w:rsidR="009275C0" w:rsidRDefault="009275C0" w:rsidP="00833CE4">
      <w:pPr>
        <w:spacing w:after="0" w:line="240" w:lineRule="auto"/>
        <w:jc w:val="both"/>
        <w:rPr>
          <w:rFonts w:ascii="Verdana" w:eastAsia="Verdana" w:hAnsi="Verdana" w:cs="Verdana"/>
        </w:rPr>
      </w:pPr>
    </w:p>
    <w:p w14:paraId="7F873457" w14:textId="4E5779D4" w:rsidR="00873610" w:rsidRPr="00873610" w:rsidRDefault="00873610" w:rsidP="00873610">
      <w:pPr>
        <w:spacing w:after="0" w:line="240" w:lineRule="auto"/>
        <w:jc w:val="both"/>
        <w:rPr>
          <w:rFonts w:ascii="Verdana" w:eastAsia="Verdana" w:hAnsi="Verdana" w:cs="Verdana"/>
        </w:rPr>
      </w:pPr>
      <w:r w:rsidRPr="00873610">
        <w:rPr>
          <w:rFonts w:ascii="Verdana" w:eastAsia="Verdana" w:hAnsi="Verdana" w:cs="Verdana"/>
          <w:b/>
          <w:bCs/>
        </w:rPr>
        <w:t xml:space="preserve">Artículo </w:t>
      </w:r>
      <w:r w:rsidR="0075731F">
        <w:rPr>
          <w:rFonts w:ascii="Verdana" w:eastAsia="Verdana" w:hAnsi="Verdana" w:cs="Verdana"/>
          <w:b/>
          <w:bCs/>
        </w:rPr>
        <w:t>4</w:t>
      </w:r>
      <w:r w:rsidRPr="00873610">
        <w:rPr>
          <w:rFonts w:ascii="Verdana" w:eastAsia="Verdana" w:hAnsi="Verdana" w:cs="Verdana"/>
          <w:b/>
          <w:bCs/>
        </w:rPr>
        <w:t>. Modificación del Anexo 3 de la Resolución 0221 de 2025.</w:t>
      </w:r>
      <w:r w:rsidRPr="00873610">
        <w:rPr>
          <w:rFonts w:ascii="Verdana" w:eastAsia="Verdana" w:hAnsi="Verdana" w:cs="Verdana"/>
        </w:rPr>
        <w:t xml:space="preserve"> Modifíquese el Anexo 3 de la Resolución 0221 de 2025, excluyendo de su contenido:</w:t>
      </w:r>
    </w:p>
    <w:p w14:paraId="00EFF7B4" w14:textId="77777777" w:rsidR="00873610" w:rsidRPr="00873610" w:rsidRDefault="00873610" w:rsidP="00873610">
      <w:pPr>
        <w:numPr>
          <w:ilvl w:val="0"/>
          <w:numId w:val="18"/>
        </w:numPr>
        <w:spacing w:after="0" w:line="240" w:lineRule="auto"/>
        <w:jc w:val="both"/>
        <w:rPr>
          <w:rFonts w:ascii="Verdana" w:eastAsia="Verdana" w:hAnsi="Verdana" w:cs="Verdana"/>
        </w:rPr>
      </w:pPr>
      <w:r w:rsidRPr="00873610">
        <w:rPr>
          <w:rFonts w:ascii="Verdana" w:eastAsia="Verdana" w:hAnsi="Verdana" w:cs="Verdana"/>
        </w:rPr>
        <w:t xml:space="preserve">La Zona Reservada con Potencial – ZRP Bloque No. 736. </w:t>
      </w:r>
    </w:p>
    <w:p w14:paraId="10FE5EE1" w14:textId="77777777" w:rsidR="00873610" w:rsidRPr="00873610" w:rsidRDefault="00873610" w:rsidP="00873610">
      <w:pPr>
        <w:numPr>
          <w:ilvl w:val="0"/>
          <w:numId w:val="18"/>
        </w:numPr>
        <w:spacing w:after="0" w:line="240" w:lineRule="auto"/>
        <w:jc w:val="both"/>
        <w:rPr>
          <w:rFonts w:ascii="Verdana" w:eastAsia="Verdana" w:hAnsi="Verdana" w:cs="Verdana"/>
        </w:rPr>
      </w:pPr>
      <w:r w:rsidRPr="00873610">
        <w:rPr>
          <w:rFonts w:ascii="Verdana" w:eastAsia="Verdana" w:hAnsi="Verdana" w:cs="Verdana"/>
        </w:rPr>
        <w:t xml:space="preserve">La solicitud de Área de Reserva Especial identificada con placa ARE-503563. </w:t>
      </w:r>
    </w:p>
    <w:p w14:paraId="098A90D8" w14:textId="77777777" w:rsidR="00873610" w:rsidRPr="00873610" w:rsidRDefault="00873610" w:rsidP="00873610">
      <w:pPr>
        <w:spacing w:after="0" w:line="240" w:lineRule="auto"/>
        <w:jc w:val="both"/>
        <w:rPr>
          <w:rFonts w:ascii="Verdana" w:eastAsia="Verdana" w:hAnsi="Verdana" w:cs="Verdana"/>
        </w:rPr>
      </w:pPr>
      <w:r w:rsidRPr="00873610">
        <w:rPr>
          <w:rFonts w:ascii="Verdana" w:eastAsia="Verdana" w:hAnsi="Verdana" w:cs="Verdana"/>
        </w:rPr>
        <w:t>En consecuencia, dichos polígonos dejarán de estar comprendidos dentro de las áreas exceptuadas del área geográfica efectiva de la Zona de Reserva de Recursos Naturales Renovables de carácter temporal.</w:t>
      </w:r>
    </w:p>
    <w:p w14:paraId="4921D49E" w14:textId="77777777" w:rsidR="00873610" w:rsidRDefault="00873610" w:rsidP="00833CE4">
      <w:pPr>
        <w:spacing w:after="0" w:line="240" w:lineRule="auto"/>
        <w:jc w:val="both"/>
        <w:rPr>
          <w:rFonts w:ascii="Verdana" w:eastAsia="Verdana" w:hAnsi="Verdana" w:cs="Verdana"/>
        </w:rPr>
      </w:pPr>
    </w:p>
    <w:p w14:paraId="22B6340E" w14:textId="75CEE1C4" w:rsidR="00873610" w:rsidRPr="001B025D" w:rsidRDefault="00873610" w:rsidP="00873610">
      <w:pPr>
        <w:spacing w:after="0" w:line="240" w:lineRule="auto"/>
        <w:jc w:val="both"/>
        <w:rPr>
          <w:rFonts w:ascii="Verdana" w:eastAsia="Verdana" w:hAnsi="Verdana" w:cs="Verdana"/>
        </w:rPr>
      </w:pPr>
      <w:r w:rsidRPr="00873610">
        <w:rPr>
          <w:rFonts w:ascii="Verdana" w:eastAsia="Verdana" w:hAnsi="Verdana" w:cs="Verdana"/>
          <w:b/>
          <w:bCs/>
        </w:rPr>
        <w:t xml:space="preserve">Artículo </w:t>
      </w:r>
      <w:r w:rsidR="0075731F">
        <w:rPr>
          <w:rFonts w:ascii="Verdana" w:eastAsia="Verdana" w:hAnsi="Verdana" w:cs="Verdana"/>
          <w:b/>
          <w:bCs/>
        </w:rPr>
        <w:t>5</w:t>
      </w:r>
      <w:r w:rsidRPr="00873610">
        <w:rPr>
          <w:rFonts w:ascii="Verdana" w:eastAsia="Verdana" w:hAnsi="Verdana" w:cs="Verdana"/>
          <w:b/>
          <w:bCs/>
        </w:rPr>
        <w:t>. Prórroga de la vigencia de la Zona de Reserva de Recursos Naturales Renovables de carácter temporal.</w:t>
      </w:r>
      <w:r w:rsidRPr="00873610">
        <w:rPr>
          <w:rFonts w:ascii="Verdana" w:eastAsia="Verdana" w:hAnsi="Verdana" w:cs="Verdana"/>
        </w:rPr>
        <w:t xml:space="preserve"> </w:t>
      </w:r>
      <w:proofErr w:type="spellStart"/>
      <w:r w:rsidRPr="00873610">
        <w:rPr>
          <w:rFonts w:ascii="Verdana" w:eastAsia="Verdana" w:hAnsi="Verdana" w:cs="Verdana"/>
        </w:rPr>
        <w:t>Prorrógase</w:t>
      </w:r>
      <w:proofErr w:type="spellEnd"/>
      <w:r w:rsidRPr="00873610">
        <w:rPr>
          <w:rFonts w:ascii="Verdana" w:eastAsia="Verdana" w:hAnsi="Verdana" w:cs="Verdana"/>
        </w:rPr>
        <w:t xml:space="preserve"> por el término de </w:t>
      </w:r>
      <w:r w:rsidRPr="001D1AF2">
        <w:rPr>
          <w:rFonts w:ascii="Verdana" w:eastAsia="Verdana" w:hAnsi="Verdana" w:cs="Verdana"/>
        </w:rPr>
        <w:t>dos (2) años</w:t>
      </w:r>
      <w:r w:rsidRPr="00873610">
        <w:rPr>
          <w:rFonts w:ascii="Verdana" w:eastAsia="Verdana" w:hAnsi="Verdana" w:cs="Verdana"/>
        </w:rPr>
        <w:t xml:space="preserve">, contados a partir del vencimiento de la vigencia inicialmente prevista, la Zona de Reserva de Recursos Naturales Renovables de carácter temporal declarada mediante la Resolución 0221 del 3 de marzo de 2025, de conformidad con lo expuesto </w:t>
      </w:r>
      <w:r w:rsidRPr="001B025D">
        <w:rPr>
          <w:rFonts w:ascii="Verdana" w:eastAsia="Verdana" w:hAnsi="Verdana" w:cs="Verdana"/>
        </w:rPr>
        <w:t>en la parte motiva del presente acto administrativo.</w:t>
      </w:r>
    </w:p>
    <w:p w14:paraId="42F7B98E" w14:textId="77777777" w:rsidR="00873610" w:rsidRDefault="00873610" w:rsidP="00873610">
      <w:pPr>
        <w:spacing w:after="0" w:line="240" w:lineRule="auto"/>
        <w:jc w:val="both"/>
        <w:rPr>
          <w:rFonts w:ascii="Verdana" w:eastAsia="Verdana" w:hAnsi="Verdana" w:cs="Verdana"/>
        </w:rPr>
      </w:pPr>
      <w:r w:rsidRPr="001B025D">
        <w:rPr>
          <w:rFonts w:ascii="Verdana" w:eastAsia="Verdana" w:hAnsi="Verdana" w:cs="Verdana"/>
        </w:rPr>
        <w:t>En consecuencia, la vigencia de la Zona de Reserva se extenderá hasta el 4 de marzo de 2029.</w:t>
      </w:r>
    </w:p>
    <w:p w14:paraId="09C575A0" w14:textId="77777777" w:rsidR="0075731F" w:rsidRPr="001B025D" w:rsidRDefault="0075731F" w:rsidP="00873610">
      <w:pPr>
        <w:spacing w:after="0" w:line="240" w:lineRule="auto"/>
        <w:jc w:val="both"/>
        <w:rPr>
          <w:rFonts w:ascii="Verdana" w:eastAsia="Verdana" w:hAnsi="Verdana" w:cs="Verdana"/>
        </w:rPr>
      </w:pPr>
    </w:p>
    <w:p w14:paraId="580BA729" w14:textId="77777777" w:rsidR="00A23DB2" w:rsidRPr="00A23DB2" w:rsidRDefault="0075731F" w:rsidP="00A23DB2">
      <w:pPr>
        <w:spacing w:after="0" w:line="240" w:lineRule="auto"/>
        <w:jc w:val="both"/>
        <w:rPr>
          <w:rFonts w:ascii="Verdana" w:eastAsia="Verdana" w:hAnsi="Verdana" w:cs="Verdana"/>
        </w:rPr>
      </w:pPr>
      <w:r w:rsidRPr="0075731F">
        <w:rPr>
          <w:rFonts w:ascii="Verdana" w:eastAsia="Verdana" w:hAnsi="Verdana" w:cs="Verdana"/>
          <w:b/>
          <w:bCs/>
        </w:rPr>
        <w:t>Artículo 6°. Comunicaciones.</w:t>
      </w:r>
      <w:r w:rsidRPr="0075731F">
        <w:rPr>
          <w:rFonts w:ascii="Verdana" w:eastAsia="Verdana" w:hAnsi="Verdana" w:cs="Verdana"/>
        </w:rPr>
        <w:t xml:space="preserve"> </w:t>
      </w:r>
      <w:r w:rsidR="00A23DB2" w:rsidRPr="00A23DB2">
        <w:rPr>
          <w:rFonts w:ascii="Verdana" w:eastAsia="Verdana" w:hAnsi="Verdana" w:cs="Verdana"/>
        </w:rPr>
        <w:t xml:space="preserve">Comuníquese la presente resolución a la Corporación Autónoma Regional para la Defensa de la Meseta de Bucaramanga (CDMB), Autoridad Nacional de Licencias Ambientales (ANLA), Parques Nacionales Naturales de Colombia, Gobernación de Santander, Alcaldes de los municipios de Suratá, Matanza, California, Vetas, Charta, Tona y Bucaramanga, Contraloría General de la República, Procuraduría Delegada para Asuntos Ambientales, Minero Energéticos y Agrarios, Ministerio de Minas y Energía y a la Agencia Nacional de Minería, para su conocimiento y fines pertinentes. </w:t>
      </w:r>
    </w:p>
    <w:p w14:paraId="5218C2FC" w14:textId="77777777" w:rsidR="00A23DB2" w:rsidRPr="00A23DB2" w:rsidRDefault="00A23DB2" w:rsidP="00A23DB2">
      <w:pPr>
        <w:spacing w:after="0" w:line="240" w:lineRule="auto"/>
        <w:jc w:val="both"/>
        <w:rPr>
          <w:rFonts w:ascii="Verdana" w:eastAsia="Verdana" w:hAnsi="Verdana" w:cs="Verdana"/>
        </w:rPr>
      </w:pPr>
    </w:p>
    <w:p w14:paraId="05BF0411" w14:textId="77BFF54B" w:rsidR="00873610" w:rsidRDefault="00322900" w:rsidP="00A23DB2">
      <w:pPr>
        <w:spacing w:after="0" w:line="240" w:lineRule="auto"/>
        <w:jc w:val="both"/>
        <w:rPr>
          <w:rFonts w:ascii="Verdana" w:eastAsia="Verdana" w:hAnsi="Verdana" w:cs="Verdana"/>
        </w:rPr>
      </w:pPr>
      <w:r w:rsidRPr="00322900">
        <w:rPr>
          <w:rFonts w:ascii="Verdana" w:eastAsia="Verdana" w:hAnsi="Verdana" w:cs="Verdana"/>
          <w:b/>
          <w:bCs/>
        </w:rPr>
        <w:t>Artículo 7°. </w:t>
      </w:r>
      <w:r w:rsidRPr="00322900">
        <w:rPr>
          <w:rFonts w:ascii="Verdana" w:eastAsia="Verdana" w:hAnsi="Verdana" w:cs="Verdana"/>
          <w:b/>
          <w:bCs/>
          <w:i/>
          <w:iCs/>
        </w:rPr>
        <w:t>Incorporación y actualización en el Sistema Integral de Gestión Minera (SIGM).</w:t>
      </w:r>
      <w:r w:rsidRPr="00322900">
        <w:rPr>
          <w:rFonts w:ascii="Verdana" w:eastAsia="Verdana" w:hAnsi="Verdana" w:cs="Verdana"/>
        </w:rPr>
        <w:t> </w:t>
      </w:r>
      <w:r w:rsidR="00F23CBC" w:rsidRPr="00F23CBC">
        <w:rPr>
          <w:rFonts w:ascii="Verdana" w:eastAsia="Verdana" w:hAnsi="Verdana" w:cs="Verdana"/>
        </w:rPr>
        <w:t>El Ministerio de Ambiente y Desarrollo Sostenible comunicará la presente resolución a la Agencia Nacional de Minería dentro de los cinco (5) días hábiles siguientes a su publicación, para que, en ejercicio de sus competencias, actualice el Sistema Integral de Gestión Minera (SIGM), incorporando las modificaciones al área geográfica efectiva y la prórroga de la vigencia de la Zona de Reserva de Recursos Naturales Renovables de carácter temporal, de conformidad con las Resoluciones 504 de 2018 y 505 de 2019 de la Agencia Nacional de Minería, o aquellas que las modifiquen, adicionen, sustituyan o deroguen.</w:t>
      </w:r>
    </w:p>
    <w:p w14:paraId="699B83AB" w14:textId="77777777" w:rsidR="0075731F" w:rsidRDefault="0075731F" w:rsidP="00833CE4">
      <w:pPr>
        <w:spacing w:after="0" w:line="240" w:lineRule="auto"/>
        <w:jc w:val="both"/>
        <w:rPr>
          <w:rFonts w:ascii="Verdana" w:eastAsia="Verdana" w:hAnsi="Verdana" w:cs="Verdana"/>
        </w:rPr>
      </w:pPr>
    </w:p>
    <w:p w14:paraId="41FACEC9" w14:textId="7DBBD96B" w:rsidR="00833CE4" w:rsidRDefault="009B1C25" w:rsidP="00833CE4">
      <w:pPr>
        <w:spacing w:after="0" w:line="240" w:lineRule="auto"/>
        <w:jc w:val="both"/>
        <w:rPr>
          <w:rFonts w:ascii="Verdana" w:eastAsia="Verdana" w:hAnsi="Verdana" w:cs="Verdana"/>
        </w:rPr>
      </w:pPr>
      <w:r w:rsidRPr="009B1C25">
        <w:rPr>
          <w:rFonts w:ascii="Verdana" w:eastAsia="Verdana" w:hAnsi="Verdana" w:cs="Verdana"/>
          <w:b/>
          <w:bCs/>
        </w:rPr>
        <w:t xml:space="preserve">Artículo </w:t>
      </w:r>
      <w:r w:rsidR="00322900">
        <w:rPr>
          <w:rFonts w:ascii="Verdana" w:eastAsia="Verdana" w:hAnsi="Verdana" w:cs="Verdana"/>
          <w:b/>
          <w:bCs/>
        </w:rPr>
        <w:t>8</w:t>
      </w:r>
      <w:r w:rsidRPr="009B1C25">
        <w:rPr>
          <w:rFonts w:ascii="Verdana" w:eastAsia="Verdana" w:hAnsi="Verdana" w:cs="Verdana"/>
          <w:b/>
          <w:bCs/>
        </w:rPr>
        <w:t>. Vigencia.</w:t>
      </w:r>
      <w:r w:rsidRPr="009B1C25">
        <w:rPr>
          <w:rFonts w:ascii="Verdana" w:eastAsia="Verdana" w:hAnsi="Verdana" w:cs="Verdana"/>
        </w:rPr>
        <w:t xml:space="preserve"> La presente resolución rige a partir de la fecha de su publicación en el Diario Oficial.</w:t>
      </w:r>
    </w:p>
    <w:p w14:paraId="66E84ABB" w14:textId="77777777" w:rsidR="009B1C25" w:rsidRDefault="009B1C25" w:rsidP="00833CE4">
      <w:pPr>
        <w:spacing w:after="0" w:line="240" w:lineRule="auto"/>
        <w:jc w:val="both"/>
        <w:rPr>
          <w:rFonts w:ascii="Verdana" w:eastAsia="Verdana" w:hAnsi="Verdana" w:cs="Verdana"/>
        </w:rPr>
      </w:pPr>
    </w:p>
    <w:p w14:paraId="5148C657" w14:textId="4492DC5B" w:rsidR="00833CE4" w:rsidRPr="00833CE4" w:rsidRDefault="00833CE4" w:rsidP="00833CE4">
      <w:pPr>
        <w:spacing w:after="0" w:line="240" w:lineRule="auto"/>
        <w:jc w:val="both"/>
        <w:rPr>
          <w:rFonts w:ascii="Verdana" w:eastAsia="Verdana" w:hAnsi="Verdana" w:cs="Verdana"/>
        </w:rPr>
      </w:pPr>
      <w:r w:rsidRPr="00833CE4">
        <w:rPr>
          <w:rFonts w:ascii="Verdana" w:eastAsia="Verdana" w:hAnsi="Verdana" w:cs="Verdana"/>
        </w:rPr>
        <w:t xml:space="preserve">Dada en Bogotá, D. C., a los ___ días del mes de ______ </w:t>
      </w:r>
      <w:proofErr w:type="spellStart"/>
      <w:r w:rsidRPr="00833CE4">
        <w:rPr>
          <w:rFonts w:ascii="Verdana" w:eastAsia="Verdana" w:hAnsi="Verdana" w:cs="Verdana"/>
        </w:rPr>
        <w:t>de</w:t>
      </w:r>
      <w:proofErr w:type="spellEnd"/>
      <w:r w:rsidRPr="00833CE4">
        <w:rPr>
          <w:rFonts w:ascii="Verdana" w:eastAsia="Verdana" w:hAnsi="Verdana" w:cs="Verdana"/>
        </w:rPr>
        <w:t xml:space="preserve"> 202</w:t>
      </w:r>
      <w:r w:rsidR="004A2565">
        <w:rPr>
          <w:rFonts w:ascii="Verdana" w:eastAsia="Verdana" w:hAnsi="Verdana" w:cs="Verdana"/>
        </w:rPr>
        <w:t>6</w:t>
      </w:r>
      <w:r w:rsidRPr="00833CE4">
        <w:rPr>
          <w:rFonts w:ascii="Verdana" w:eastAsia="Verdana" w:hAnsi="Verdana" w:cs="Verdana"/>
        </w:rPr>
        <w:t>.</w:t>
      </w:r>
    </w:p>
    <w:p w14:paraId="2F376CA6" w14:textId="77777777" w:rsidR="00833CE4" w:rsidRPr="00833CE4" w:rsidRDefault="00833CE4" w:rsidP="00833CE4">
      <w:pPr>
        <w:spacing w:after="0" w:line="240" w:lineRule="auto"/>
        <w:jc w:val="both"/>
        <w:rPr>
          <w:rFonts w:ascii="Verdana" w:eastAsia="Verdana" w:hAnsi="Verdana" w:cs="Verdana"/>
        </w:rPr>
      </w:pPr>
    </w:p>
    <w:p w14:paraId="1FF0DA27" w14:textId="77777777" w:rsidR="00833CE4" w:rsidRPr="00833CE4" w:rsidRDefault="00833CE4" w:rsidP="00833CE4">
      <w:pPr>
        <w:spacing w:after="0" w:line="240" w:lineRule="auto"/>
        <w:jc w:val="both"/>
        <w:rPr>
          <w:rFonts w:ascii="Verdana" w:eastAsia="Verdana" w:hAnsi="Verdana" w:cs="Verdana"/>
        </w:rPr>
      </w:pPr>
    </w:p>
    <w:p w14:paraId="41038167" w14:textId="77777777" w:rsidR="00833CE4" w:rsidRDefault="00833CE4" w:rsidP="00B91F44">
      <w:pPr>
        <w:spacing w:after="0" w:line="240" w:lineRule="auto"/>
        <w:jc w:val="center"/>
        <w:rPr>
          <w:rFonts w:ascii="Verdana" w:eastAsia="Verdana" w:hAnsi="Verdana" w:cs="Verdana"/>
          <w:b/>
          <w:bCs/>
        </w:rPr>
      </w:pPr>
    </w:p>
    <w:p w14:paraId="625AD3E1" w14:textId="75EDDB50" w:rsidR="00C574F5" w:rsidRDefault="00C574F5" w:rsidP="00B91F44">
      <w:pPr>
        <w:spacing w:after="0" w:line="240" w:lineRule="auto"/>
        <w:jc w:val="center"/>
        <w:rPr>
          <w:rFonts w:ascii="Verdana" w:hAnsi="Verdana"/>
          <w:b/>
        </w:rPr>
      </w:pPr>
      <w:r>
        <w:rPr>
          <w:rFonts w:ascii="Verdana" w:hAnsi="Verdana"/>
          <w:b/>
        </w:rPr>
        <w:t>PUBLÍQUESE, COMUNÍQUESE Y CÚMPLASE</w:t>
      </w:r>
    </w:p>
    <w:p w14:paraId="4CE4AC6B" w14:textId="40D7969D" w:rsidR="00C574F5" w:rsidRDefault="00C574F5" w:rsidP="00B91F44">
      <w:pPr>
        <w:tabs>
          <w:tab w:val="center" w:pos="4512"/>
        </w:tabs>
        <w:spacing w:after="0" w:line="240" w:lineRule="atLeast"/>
        <w:jc w:val="center"/>
        <w:rPr>
          <w:rFonts w:ascii="Verdana" w:eastAsia="Verdana" w:hAnsi="Verdana" w:cs="Verdana"/>
        </w:rPr>
      </w:pPr>
      <w:r w:rsidRPr="00486040">
        <w:rPr>
          <w:rFonts w:ascii="Verdana" w:eastAsia="Verdana" w:hAnsi="Verdana" w:cs="Verdana"/>
        </w:rPr>
        <w:t>Dado en Bogotá, D.C., a los</w:t>
      </w:r>
    </w:p>
    <w:p w14:paraId="5472F8AC" w14:textId="77777777" w:rsidR="00B91F44" w:rsidRPr="00B91F44" w:rsidRDefault="00B91F44" w:rsidP="00B91F44">
      <w:pPr>
        <w:tabs>
          <w:tab w:val="center" w:pos="4512"/>
        </w:tabs>
        <w:spacing w:after="0" w:line="240" w:lineRule="atLeast"/>
        <w:jc w:val="center"/>
        <w:rPr>
          <w:rFonts w:ascii="Verdana" w:eastAsia="Verdana" w:hAnsi="Verdana" w:cs="Verdana"/>
        </w:rPr>
      </w:pPr>
    </w:p>
    <w:p w14:paraId="437A2C25" w14:textId="77777777" w:rsidR="00C574F5" w:rsidRDefault="00C574F5" w:rsidP="00B91F44">
      <w:pPr>
        <w:spacing w:after="0"/>
        <w:rPr>
          <w:rFonts w:cs="Arial"/>
          <w:sz w:val="16"/>
          <w:szCs w:val="16"/>
        </w:rPr>
      </w:pPr>
    </w:p>
    <w:p w14:paraId="22376F1E" w14:textId="77777777" w:rsidR="00B91F44" w:rsidRDefault="00B91F44" w:rsidP="00B91F44">
      <w:pPr>
        <w:spacing w:after="0"/>
        <w:rPr>
          <w:rFonts w:cs="Arial"/>
          <w:sz w:val="16"/>
          <w:szCs w:val="16"/>
        </w:rPr>
      </w:pPr>
    </w:p>
    <w:p w14:paraId="1B676CB8" w14:textId="77777777" w:rsidR="00B91F44" w:rsidRDefault="00B91F44" w:rsidP="00B91F44">
      <w:pPr>
        <w:spacing w:after="0"/>
        <w:rPr>
          <w:rFonts w:cs="Arial"/>
          <w:sz w:val="16"/>
          <w:szCs w:val="16"/>
        </w:rPr>
      </w:pPr>
    </w:p>
    <w:p w14:paraId="6824FD67" w14:textId="77777777" w:rsidR="00B91F44" w:rsidRDefault="00B91F44" w:rsidP="00B91F44">
      <w:pPr>
        <w:spacing w:after="0"/>
        <w:rPr>
          <w:rFonts w:cs="Arial"/>
          <w:sz w:val="16"/>
          <w:szCs w:val="16"/>
        </w:rPr>
      </w:pPr>
    </w:p>
    <w:p w14:paraId="617718B9" w14:textId="77777777" w:rsidR="00B91F44" w:rsidRDefault="00B91F44" w:rsidP="00B91F44">
      <w:pPr>
        <w:spacing w:after="0"/>
        <w:rPr>
          <w:rFonts w:cs="Arial"/>
          <w:sz w:val="16"/>
          <w:szCs w:val="16"/>
        </w:rPr>
      </w:pPr>
    </w:p>
    <w:p w14:paraId="40FC5DFC" w14:textId="6964DAFF" w:rsidR="00C574F5" w:rsidRPr="00C574F5" w:rsidRDefault="00C574F5" w:rsidP="00B91F44">
      <w:pPr>
        <w:tabs>
          <w:tab w:val="center" w:pos="4512"/>
        </w:tabs>
        <w:spacing w:after="0" w:line="240" w:lineRule="atLeast"/>
        <w:jc w:val="center"/>
        <w:rPr>
          <w:rFonts w:ascii="Verdana" w:eastAsia="Verdana" w:hAnsi="Verdana" w:cs="Verdana"/>
          <w:b/>
          <w:bCs/>
        </w:rPr>
      </w:pPr>
      <w:r w:rsidRPr="00C574F5">
        <w:rPr>
          <w:rFonts w:ascii="Verdana" w:eastAsia="Verdana" w:hAnsi="Verdana" w:cs="Verdana"/>
          <w:b/>
          <w:bCs/>
        </w:rPr>
        <w:t>IRENE V</w:t>
      </w:r>
      <w:r w:rsidR="00EC56C3">
        <w:rPr>
          <w:rFonts w:ascii="Verdana" w:eastAsia="Verdana" w:hAnsi="Verdana" w:cs="Verdana"/>
          <w:b/>
          <w:bCs/>
        </w:rPr>
        <w:t>É</w:t>
      </w:r>
      <w:r w:rsidRPr="00C574F5">
        <w:rPr>
          <w:rFonts w:ascii="Verdana" w:eastAsia="Verdana" w:hAnsi="Verdana" w:cs="Verdana"/>
          <w:b/>
          <w:bCs/>
        </w:rPr>
        <w:t>LEZ TORRES</w:t>
      </w:r>
    </w:p>
    <w:p w14:paraId="2CAE5E85" w14:textId="77777777" w:rsidR="00C574F5" w:rsidRPr="00486040" w:rsidRDefault="00C574F5" w:rsidP="00B91F44">
      <w:pPr>
        <w:tabs>
          <w:tab w:val="center" w:pos="4512"/>
        </w:tabs>
        <w:spacing w:after="0" w:line="240" w:lineRule="atLeast"/>
        <w:jc w:val="center"/>
        <w:rPr>
          <w:rFonts w:ascii="Verdana" w:eastAsia="Verdana" w:hAnsi="Verdana" w:cs="Verdana"/>
        </w:rPr>
      </w:pPr>
      <w:r w:rsidRPr="00486040">
        <w:rPr>
          <w:rFonts w:ascii="Verdana" w:eastAsia="Verdana" w:hAnsi="Verdana" w:cs="Verdana"/>
        </w:rPr>
        <w:lastRenderedPageBreak/>
        <w:t>Ministra (E) de Ambiente y Desarrollo Sostenible</w:t>
      </w:r>
    </w:p>
    <w:p w14:paraId="4E37AF92" w14:textId="77777777" w:rsidR="00B91F44" w:rsidRDefault="00B91F44" w:rsidP="00B91F44">
      <w:pPr>
        <w:spacing w:line="240" w:lineRule="auto"/>
        <w:contextualSpacing/>
        <w:rPr>
          <w:rFonts w:ascii="Verdana" w:hAnsi="Verdana"/>
          <w:color w:val="000000" w:themeColor="text1"/>
          <w:kern w:val="0"/>
          <w:sz w:val="14"/>
          <w:lang w:val="es-ES"/>
        </w:rPr>
      </w:pPr>
    </w:p>
    <w:p w14:paraId="376FEA19" w14:textId="77777777" w:rsidR="00B91F44" w:rsidRDefault="00B91F44" w:rsidP="00B91F44">
      <w:pPr>
        <w:spacing w:line="240" w:lineRule="auto"/>
        <w:contextualSpacing/>
        <w:rPr>
          <w:rFonts w:ascii="Verdana" w:hAnsi="Verdana"/>
          <w:color w:val="000000" w:themeColor="text1"/>
          <w:kern w:val="0"/>
          <w:sz w:val="14"/>
          <w:lang w:val="es-ES"/>
        </w:rPr>
      </w:pPr>
    </w:p>
    <w:p w14:paraId="05F39036" w14:textId="15E6E89B" w:rsidR="00B91F44" w:rsidRDefault="00B91F44" w:rsidP="00B91F44">
      <w:pPr>
        <w:spacing w:line="240" w:lineRule="auto"/>
        <w:contextualSpacing/>
        <w:rPr>
          <w:rFonts w:ascii="Verdana" w:hAnsi="Verdana"/>
          <w:color w:val="000000" w:themeColor="text1"/>
          <w:kern w:val="0"/>
          <w:sz w:val="14"/>
          <w:lang w:val="es-ES"/>
        </w:rPr>
      </w:pPr>
      <w:r>
        <w:rPr>
          <w:rFonts w:ascii="Verdana" w:hAnsi="Verdana"/>
          <w:color w:val="000000" w:themeColor="text1"/>
          <w:kern w:val="0"/>
          <w:sz w:val="14"/>
          <w:lang w:val="es-ES"/>
        </w:rPr>
        <w:t xml:space="preserve">Revisó: </w:t>
      </w:r>
      <w:r>
        <w:rPr>
          <w:rFonts w:ascii="Verdana" w:hAnsi="Verdana"/>
          <w:color w:val="000000" w:themeColor="text1"/>
          <w:kern w:val="0"/>
          <w:sz w:val="14"/>
          <w:lang w:val="es-ES"/>
        </w:rPr>
        <w:tab/>
      </w:r>
      <w:proofErr w:type="spellStart"/>
      <w:r w:rsidR="003C26C6">
        <w:rPr>
          <w:rFonts w:ascii="Verdana" w:hAnsi="Verdana"/>
          <w:color w:val="000000" w:themeColor="text1"/>
          <w:kern w:val="0"/>
          <w:sz w:val="14"/>
          <w:lang w:val="es-ES"/>
        </w:rPr>
        <w:t>Jairton</w:t>
      </w:r>
      <w:proofErr w:type="spellEnd"/>
      <w:r w:rsidR="003C26C6">
        <w:rPr>
          <w:rFonts w:ascii="Verdana" w:hAnsi="Verdana"/>
          <w:color w:val="000000" w:themeColor="text1"/>
          <w:kern w:val="0"/>
          <w:sz w:val="14"/>
          <w:lang w:val="es-ES"/>
        </w:rPr>
        <w:t xml:space="preserve"> Habit Diez Díaz</w:t>
      </w:r>
      <w:r>
        <w:rPr>
          <w:rFonts w:ascii="Verdana" w:hAnsi="Verdana"/>
          <w:color w:val="000000" w:themeColor="text1"/>
          <w:kern w:val="0"/>
          <w:sz w:val="14"/>
          <w:lang w:val="es-ES"/>
        </w:rPr>
        <w:t xml:space="preserve">, </w:t>
      </w:r>
      <w:proofErr w:type="gramStart"/>
      <w:r>
        <w:rPr>
          <w:rFonts w:ascii="Verdana" w:hAnsi="Verdana"/>
          <w:color w:val="000000" w:themeColor="text1"/>
          <w:kern w:val="0"/>
          <w:sz w:val="14"/>
          <w:lang w:val="es-ES"/>
        </w:rPr>
        <w:t>Director</w:t>
      </w:r>
      <w:proofErr w:type="gramEnd"/>
      <w:r w:rsidR="00D07B43">
        <w:rPr>
          <w:rFonts w:ascii="Verdana" w:hAnsi="Verdana"/>
          <w:color w:val="000000" w:themeColor="text1"/>
          <w:kern w:val="0"/>
          <w:sz w:val="14"/>
          <w:lang w:val="es-ES"/>
        </w:rPr>
        <w:t xml:space="preserve"> </w:t>
      </w:r>
      <w:r w:rsidR="00F473D1">
        <w:rPr>
          <w:rFonts w:ascii="Verdana" w:hAnsi="Verdana"/>
          <w:color w:val="000000" w:themeColor="text1"/>
          <w:kern w:val="0"/>
          <w:sz w:val="14"/>
          <w:lang w:val="es-ES"/>
        </w:rPr>
        <w:t>DGIRH</w:t>
      </w:r>
    </w:p>
    <w:p w14:paraId="76C1E893" w14:textId="5C4E078C" w:rsidR="00B91F44" w:rsidRDefault="00B91F44" w:rsidP="00B91F44">
      <w:pPr>
        <w:spacing w:line="240" w:lineRule="auto"/>
        <w:contextualSpacing/>
        <w:rPr>
          <w:rFonts w:ascii="Verdana" w:hAnsi="Verdana"/>
          <w:color w:val="000000" w:themeColor="text1"/>
          <w:kern w:val="0"/>
          <w:sz w:val="14"/>
          <w:lang w:val="es-ES"/>
        </w:rPr>
      </w:pPr>
      <w:r>
        <w:rPr>
          <w:rFonts w:ascii="Verdana" w:hAnsi="Verdana"/>
          <w:color w:val="000000" w:themeColor="text1"/>
          <w:kern w:val="0"/>
          <w:sz w:val="14"/>
          <w:lang w:val="es-ES"/>
        </w:rPr>
        <w:tab/>
        <w:t xml:space="preserve">Laura Camila Ramos, </w:t>
      </w:r>
      <w:proofErr w:type="gramStart"/>
      <w:r>
        <w:rPr>
          <w:rFonts w:ascii="Verdana" w:hAnsi="Verdana"/>
          <w:color w:val="000000" w:themeColor="text1"/>
          <w:kern w:val="0"/>
          <w:sz w:val="14"/>
          <w:lang w:val="es-ES"/>
        </w:rPr>
        <w:t>Jefe</w:t>
      </w:r>
      <w:proofErr w:type="gramEnd"/>
      <w:r>
        <w:rPr>
          <w:rFonts w:ascii="Verdana" w:hAnsi="Verdana"/>
          <w:color w:val="000000" w:themeColor="text1"/>
          <w:kern w:val="0"/>
          <w:sz w:val="14"/>
          <w:lang w:val="es-ES"/>
        </w:rPr>
        <w:t xml:space="preserve"> Oficina Asesora Jurídica</w:t>
      </w:r>
    </w:p>
    <w:p w14:paraId="3115BC98" w14:textId="26032513" w:rsidR="001464D6" w:rsidRPr="00B91F44" w:rsidRDefault="00B91F44" w:rsidP="00D45C90">
      <w:pPr>
        <w:spacing w:line="240" w:lineRule="auto"/>
        <w:contextualSpacing/>
        <w:rPr>
          <w:rFonts w:ascii="Verdana" w:hAnsi="Verdana"/>
          <w:color w:val="000000" w:themeColor="text1"/>
          <w:kern w:val="0"/>
          <w:sz w:val="14"/>
          <w:lang w:val="es-ES"/>
        </w:rPr>
      </w:pPr>
      <w:r>
        <w:rPr>
          <w:rFonts w:ascii="Verdana" w:hAnsi="Verdana"/>
          <w:color w:val="000000" w:themeColor="text1"/>
          <w:kern w:val="0"/>
          <w:sz w:val="14"/>
          <w:lang w:val="es-ES"/>
        </w:rPr>
        <w:t xml:space="preserve">Aprobó: </w:t>
      </w:r>
      <w:r>
        <w:rPr>
          <w:rFonts w:ascii="Verdana" w:hAnsi="Verdana"/>
          <w:color w:val="000000" w:themeColor="text1"/>
          <w:kern w:val="0"/>
          <w:sz w:val="14"/>
          <w:lang w:val="es-ES"/>
        </w:rPr>
        <w:tab/>
        <w:t xml:space="preserve">Edith Magnolia Bastidas Calderón, </w:t>
      </w:r>
      <w:proofErr w:type="gramStart"/>
      <w:r>
        <w:rPr>
          <w:rFonts w:ascii="Verdana" w:hAnsi="Verdana"/>
          <w:color w:val="000000" w:themeColor="text1"/>
          <w:kern w:val="0"/>
          <w:sz w:val="14"/>
          <w:lang w:val="es-ES"/>
        </w:rPr>
        <w:t>Viceministra</w:t>
      </w:r>
      <w:proofErr w:type="gramEnd"/>
      <w:r>
        <w:rPr>
          <w:rFonts w:ascii="Verdana" w:hAnsi="Verdana"/>
          <w:color w:val="000000" w:themeColor="text1"/>
          <w:kern w:val="0"/>
          <w:sz w:val="14"/>
          <w:lang w:val="es-ES"/>
        </w:rPr>
        <w:t xml:space="preserve"> de Política</w:t>
      </w:r>
      <w:r w:rsidR="00C968B5">
        <w:rPr>
          <w:rFonts w:ascii="Verdana" w:hAnsi="Verdana"/>
          <w:color w:val="000000" w:themeColor="text1"/>
          <w:kern w:val="0"/>
          <w:sz w:val="14"/>
          <w:lang w:val="es-ES"/>
        </w:rPr>
        <w:t>s</w:t>
      </w:r>
      <w:r>
        <w:rPr>
          <w:rFonts w:ascii="Verdana" w:hAnsi="Verdana"/>
          <w:color w:val="000000" w:themeColor="text1"/>
          <w:kern w:val="0"/>
          <w:sz w:val="14"/>
          <w:lang w:val="es-ES"/>
        </w:rPr>
        <w:t xml:space="preserve"> y Normalización Ambiental</w:t>
      </w:r>
    </w:p>
    <w:sectPr w:rsidR="001464D6" w:rsidRPr="00B91F44" w:rsidSect="0044174F">
      <w:headerReference w:type="default" r:id="rId13"/>
      <w:footerReference w:type="default" r:id="rId14"/>
      <w:headerReference w:type="first" r:id="rId15"/>
      <w:footerReference w:type="first" r:id="rId16"/>
      <w:pgSz w:w="12242" w:h="18722" w:code="14"/>
      <w:pgMar w:top="2410" w:right="1701" w:bottom="1418" w:left="1701" w:header="709" w:footer="3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6C283" w14:textId="77777777" w:rsidR="007E529B" w:rsidRDefault="007E529B" w:rsidP="009068CD">
      <w:pPr>
        <w:spacing w:after="0" w:line="240" w:lineRule="auto"/>
      </w:pPr>
      <w:r>
        <w:separator/>
      </w:r>
    </w:p>
  </w:endnote>
  <w:endnote w:type="continuationSeparator" w:id="0">
    <w:p w14:paraId="793132B2" w14:textId="77777777" w:rsidR="007E529B" w:rsidRDefault="007E529B" w:rsidP="00906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Ligh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3301636"/>
      <w:docPartObj>
        <w:docPartGallery w:val="Page Numbers (Bottom of Page)"/>
        <w:docPartUnique/>
      </w:docPartObj>
    </w:sdtPr>
    <w:sdtEndPr>
      <w:rPr>
        <w:rFonts w:ascii="Verdana" w:hAnsi="Verdana"/>
        <w:sz w:val="18"/>
        <w:szCs w:val="18"/>
      </w:rPr>
    </w:sdtEndPr>
    <w:sdtContent>
      <w:sdt>
        <w:sdtPr>
          <w:id w:val="-1769616900"/>
          <w:docPartObj>
            <w:docPartGallery w:val="Page Numbers (Top of Page)"/>
            <w:docPartUnique/>
          </w:docPartObj>
        </w:sdtPr>
        <w:sdtEndPr>
          <w:rPr>
            <w:rFonts w:ascii="Verdana" w:hAnsi="Verdana"/>
            <w:sz w:val="18"/>
            <w:szCs w:val="18"/>
          </w:rPr>
        </w:sdtEndPr>
        <w:sdtContent>
          <w:p w14:paraId="725E8031" w14:textId="1B6EA7B6" w:rsidR="004C0464" w:rsidRPr="00232C6D" w:rsidRDefault="00DD3C5F">
            <w:pPr>
              <w:pStyle w:val="Piedepgina"/>
              <w:jc w:val="right"/>
              <w:rPr>
                <w:rFonts w:ascii="Verdana" w:hAnsi="Verdana"/>
                <w:b/>
                <w:bCs/>
                <w:sz w:val="18"/>
                <w:szCs w:val="18"/>
              </w:rPr>
            </w:pPr>
            <w:r w:rsidRPr="00232C6D">
              <w:rPr>
                <w:rFonts w:ascii="Verdana" w:hAnsi="Verdana"/>
                <w:sz w:val="18"/>
                <w:szCs w:val="18"/>
                <w:lang w:val="es-ES"/>
              </w:rPr>
              <w:t xml:space="preserve">Página </w:t>
            </w:r>
            <w:r w:rsidRPr="00232C6D">
              <w:rPr>
                <w:rFonts w:ascii="Verdana" w:hAnsi="Verdana"/>
                <w:b/>
                <w:bCs/>
                <w:sz w:val="18"/>
                <w:szCs w:val="18"/>
              </w:rPr>
              <w:fldChar w:fldCharType="begin"/>
            </w:r>
            <w:r w:rsidRPr="00232C6D">
              <w:rPr>
                <w:rFonts w:ascii="Verdana" w:hAnsi="Verdana"/>
                <w:b/>
                <w:bCs/>
                <w:sz w:val="18"/>
                <w:szCs w:val="18"/>
              </w:rPr>
              <w:instrText>PAGE</w:instrText>
            </w:r>
            <w:r w:rsidRPr="00232C6D">
              <w:rPr>
                <w:rFonts w:ascii="Verdana" w:hAnsi="Verdana"/>
                <w:b/>
                <w:bCs/>
                <w:sz w:val="18"/>
                <w:szCs w:val="18"/>
              </w:rPr>
              <w:fldChar w:fldCharType="separate"/>
            </w:r>
            <w:r w:rsidR="001464D6" w:rsidRPr="00232C6D">
              <w:rPr>
                <w:rFonts w:ascii="Verdana" w:hAnsi="Verdana"/>
                <w:b/>
                <w:bCs/>
                <w:noProof/>
                <w:sz w:val="18"/>
                <w:szCs w:val="18"/>
              </w:rPr>
              <w:t>2</w:t>
            </w:r>
            <w:r w:rsidRPr="00232C6D">
              <w:rPr>
                <w:rFonts w:ascii="Verdana" w:hAnsi="Verdana"/>
                <w:b/>
                <w:bCs/>
                <w:sz w:val="18"/>
                <w:szCs w:val="18"/>
              </w:rPr>
              <w:fldChar w:fldCharType="end"/>
            </w:r>
            <w:r w:rsidRPr="00232C6D">
              <w:rPr>
                <w:rFonts w:ascii="Verdana" w:hAnsi="Verdana"/>
                <w:sz w:val="18"/>
                <w:szCs w:val="18"/>
                <w:lang w:val="es-ES"/>
              </w:rPr>
              <w:t xml:space="preserve"> de </w:t>
            </w:r>
            <w:r w:rsidRPr="00232C6D">
              <w:rPr>
                <w:rFonts w:ascii="Verdana" w:hAnsi="Verdana"/>
                <w:b/>
                <w:bCs/>
                <w:sz w:val="18"/>
                <w:szCs w:val="18"/>
              </w:rPr>
              <w:fldChar w:fldCharType="begin"/>
            </w:r>
            <w:r w:rsidRPr="00232C6D">
              <w:rPr>
                <w:rFonts w:ascii="Verdana" w:hAnsi="Verdana"/>
                <w:b/>
                <w:bCs/>
                <w:sz w:val="18"/>
                <w:szCs w:val="18"/>
              </w:rPr>
              <w:instrText>NUMPAGES</w:instrText>
            </w:r>
            <w:r w:rsidRPr="00232C6D">
              <w:rPr>
                <w:rFonts w:ascii="Verdana" w:hAnsi="Verdana"/>
                <w:b/>
                <w:bCs/>
                <w:sz w:val="18"/>
                <w:szCs w:val="18"/>
              </w:rPr>
              <w:fldChar w:fldCharType="separate"/>
            </w:r>
            <w:r w:rsidR="001464D6" w:rsidRPr="00232C6D">
              <w:rPr>
                <w:rFonts w:ascii="Verdana" w:hAnsi="Verdana"/>
                <w:b/>
                <w:bCs/>
                <w:noProof/>
                <w:sz w:val="18"/>
                <w:szCs w:val="18"/>
              </w:rPr>
              <w:t>2</w:t>
            </w:r>
            <w:r w:rsidRPr="00232C6D">
              <w:rPr>
                <w:rFonts w:ascii="Verdana" w:hAnsi="Verdana"/>
                <w:b/>
                <w:bCs/>
                <w:sz w:val="18"/>
                <w:szCs w:val="18"/>
              </w:rPr>
              <w:fldChar w:fldCharType="end"/>
            </w:r>
          </w:p>
          <w:p w14:paraId="50DF1EF2" w14:textId="24F3E04D" w:rsidR="00DD3C5F" w:rsidRPr="00232C6D" w:rsidRDefault="004C0464">
            <w:pPr>
              <w:pStyle w:val="Piedepgina"/>
              <w:jc w:val="right"/>
              <w:rPr>
                <w:rFonts w:ascii="Verdana" w:hAnsi="Verdana"/>
                <w:sz w:val="18"/>
                <w:szCs w:val="18"/>
              </w:rPr>
            </w:pPr>
            <w:r w:rsidRPr="00232C6D">
              <w:rPr>
                <w:rFonts w:ascii="Verdana" w:hAnsi="Verdana"/>
                <w:sz w:val="18"/>
                <w:szCs w:val="18"/>
              </w:rPr>
              <w:t>F-M-INA-</w:t>
            </w:r>
            <w:proofErr w:type="gramStart"/>
            <w:r w:rsidRPr="00232C6D">
              <w:rPr>
                <w:rFonts w:ascii="Verdana" w:hAnsi="Verdana"/>
                <w:sz w:val="18"/>
                <w:szCs w:val="18"/>
              </w:rPr>
              <w:t>46:V</w:t>
            </w:r>
            <w:proofErr w:type="gramEnd"/>
            <w:r w:rsidR="00B8043D">
              <w:rPr>
                <w:rFonts w:ascii="Verdana" w:hAnsi="Verdana"/>
                <w:sz w:val="18"/>
                <w:szCs w:val="18"/>
              </w:rPr>
              <w:t>5</w:t>
            </w:r>
            <w:r w:rsidRPr="00232C6D">
              <w:rPr>
                <w:rFonts w:ascii="Verdana" w:hAnsi="Verdana"/>
                <w:sz w:val="18"/>
                <w:szCs w:val="18"/>
              </w:rPr>
              <w:t xml:space="preserve"> </w:t>
            </w:r>
            <w:r w:rsidR="00B8043D">
              <w:rPr>
                <w:rFonts w:ascii="Verdana" w:hAnsi="Verdana"/>
                <w:sz w:val="18"/>
                <w:szCs w:val="18"/>
              </w:rPr>
              <w:t>1</w:t>
            </w:r>
            <w:r w:rsidR="00165874">
              <w:rPr>
                <w:rFonts w:ascii="Verdana" w:hAnsi="Verdana"/>
                <w:sz w:val="18"/>
                <w:szCs w:val="18"/>
              </w:rPr>
              <w:t>7</w:t>
            </w:r>
            <w:r w:rsidR="00232C6D">
              <w:rPr>
                <w:rFonts w:ascii="Verdana" w:hAnsi="Verdana"/>
                <w:sz w:val="18"/>
                <w:szCs w:val="18"/>
              </w:rPr>
              <w:t>-0</w:t>
            </w:r>
            <w:r w:rsidR="00B8043D">
              <w:rPr>
                <w:rFonts w:ascii="Verdana" w:hAnsi="Verdana"/>
                <w:sz w:val="18"/>
                <w:szCs w:val="18"/>
              </w:rPr>
              <w:t>2</w:t>
            </w:r>
            <w:r w:rsidR="00232C6D">
              <w:rPr>
                <w:rFonts w:ascii="Verdana" w:hAnsi="Verdana"/>
                <w:sz w:val="18"/>
                <w:szCs w:val="18"/>
              </w:rPr>
              <w:t>-</w:t>
            </w:r>
            <w:r w:rsidRPr="00232C6D">
              <w:rPr>
                <w:rFonts w:ascii="Verdana" w:hAnsi="Verdana"/>
                <w:sz w:val="18"/>
                <w:szCs w:val="18"/>
              </w:rPr>
              <w:t>202</w:t>
            </w:r>
            <w:r w:rsidR="00B8043D">
              <w:rPr>
                <w:rFonts w:ascii="Verdana" w:hAnsi="Verdana"/>
                <w:sz w:val="18"/>
                <w:szCs w:val="18"/>
              </w:rPr>
              <w:t>5</w:t>
            </w:r>
          </w:p>
        </w:sdtContent>
      </w:sdt>
    </w:sdtContent>
  </w:sdt>
  <w:p w14:paraId="1AB2FCDD" w14:textId="77777777" w:rsidR="00DD3C5F" w:rsidRDefault="00DD3C5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1733725"/>
      <w:docPartObj>
        <w:docPartGallery w:val="Page Numbers (Top of Page)"/>
        <w:docPartUnique/>
      </w:docPartObj>
    </w:sdtPr>
    <w:sdtEndPr>
      <w:rPr>
        <w:rFonts w:ascii="Verdana" w:hAnsi="Verdana"/>
        <w:sz w:val="18"/>
        <w:szCs w:val="18"/>
      </w:rPr>
    </w:sdtEndPr>
    <w:sdtContent>
      <w:p w14:paraId="48A03B13" w14:textId="77777777" w:rsidR="003979BF" w:rsidRPr="00232C6D" w:rsidRDefault="003979BF" w:rsidP="003979BF">
        <w:pPr>
          <w:pStyle w:val="Piedepgina"/>
          <w:jc w:val="right"/>
          <w:rPr>
            <w:rFonts w:ascii="Verdana" w:hAnsi="Verdana"/>
            <w:b/>
            <w:bCs/>
            <w:sz w:val="18"/>
            <w:szCs w:val="18"/>
          </w:rPr>
        </w:pPr>
        <w:r w:rsidRPr="00232C6D">
          <w:rPr>
            <w:rFonts w:ascii="Verdana" w:hAnsi="Verdana"/>
            <w:sz w:val="18"/>
            <w:szCs w:val="18"/>
            <w:lang w:val="es-ES"/>
          </w:rPr>
          <w:t xml:space="preserve">Página </w:t>
        </w:r>
        <w:r w:rsidRPr="00232C6D">
          <w:rPr>
            <w:rFonts w:ascii="Verdana" w:hAnsi="Verdana"/>
            <w:b/>
            <w:bCs/>
            <w:sz w:val="18"/>
            <w:szCs w:val="18"/>
          </w:rPr>
          <w:fldChar w:fldCharType="begin"/>
        </w:r>
        <w:r w:rsidRPr="00232C6D">
          <w:rPr>
            <w:rFonts w:ascii="Verdana" w:hAnsi="Verdana"/>
            <w:b/>
            <w:bCs/>
            <w:sz w:val="18"/>
            <w:szCs w:val="18"/>
          </w:rPr>
          <w:instrText>PAGE</w:instrText>
        </w:r>
        <w:r w:rsidRPr="00232C6D">
          <w:rPr>
            <w:rFonts w:ascii="Verdana" w:hAnsi="Verdana"/>
            <w:b/>
            <w:bCs/>
            <w:sz w:val="18"/>
            <w:szCs w:val="18"/>
          </w:rPr>
          <w:fldChar w:fldCharType="separate"/>
        </w:r>
        <w:r>
          <w:rPr>
            <w:rFonts w:ascii="Verdana" w:hAnsi="Verdana"/>
            <w:b/>
            <w:bCs/>
            <w:sz w:val="18"/>
            <w:szCs w:val="18"/>
          </w:rPr>
          <w:t>2</w:t>
        </w:r>
        <w:r w:rsidRPr="00232C6D">
          <w:rPr>
            <w:rFonts w:ascii="Verdana" w:hAnsi="Verdana"/>
            <w:b/>
            <w:bCs/>
            <w:sz w:val="18"/>
            <w:szCs w:val="18"/>
          </w:rPr>
          <w:fldChar w:fldCharType="end"/>
        </w:r>
        <w:r w:rsidRPr="00232C6D">
          <w:rPr>
            <w:rFonts w:ascii="Verdana" w:hAnsi="Verdana"/>
            <w:sz w:val="18"/>
            <w:szCs w:val="18"/>
            <w:lang w:val="es-ES"/>
          </w:rPr>
          <w:t xml:space="preserve"> de </w:t>
        </w:r>
        <w:r w:rsidRPr="00232C6D">
          <w:rPr>
            <w:rFonts w:ascii="Verdana" w:hAnsi="Verdana"/>
            <w:b/>
            <w:bCs/>
            <w:sz w:val="18"/>
            <w:szCs w:val="18"/>
          </w:rPr>
          <w:fldChar w:fldCharType="begin"/>
        </w:r>
        <w:r w:rsidRPr="00232C6D">
          <w:rPr>
            <w:rFonts w:ascii="Verdana" w:hAnsi="Verdana"/>
            <w:b/>
            <w:bCs/>
            <w:sz w:val="18"/>
            <w:szCs w:val="18"/>
          </w:rPr>
          <w:instrText>NUMPAGES</w:instrText>
        </w:r>
        <w:r w:rsidRPr="00232C6D">
          <w:rPr>
            <w:rFonts w:ascii="Verdana" w:hAnsi="Verdana"/>
            <w:b/>
            <w:bCs/>
            <w:sz w:val="18"/>
            <w:szCs w:val="18"/>
          </w:rPr>
          <w:fldChar w:fldCharType="separate"/>
        </w:r>
        <w:r>
          <w:rPr>
            <w:rFonts w:ascii="Verdana" w:hAnsi="Verdana"/>
            <w:b/>
            <w:bCs/>
            <w:sz w:val="18"/>
            <w:szCs w:val="18"/>
          </w:rPr>
          <w:t>2</w:t>
        </w:r>
        <w:r w:rsidRPr="00232C6D">
          <w:rPr>
            <w:rFonts w:ascii="Verdana" w:hAnsi="Verdana"/>
            <w:b/>
            <w:bCs/>
            <w:sz w:val="18"/>
            <w:szCs w:val="18"/>
          </w:rPr>
          <w:fldChar w:fldCharType="end"/>
        </w:r>
      </w:p>
      <w:p w14:paraId="460730A7" w14:textId="7473679B" w:rsidR="003979BF" w:rsidRDefault="003979BF" w:rsidP="003979BF">
        <w:pPr>
          <w:pStyle w:val="Piedepgina"/>
          <w:jc w:val="right"/>
          <w:rPr>
            <w:rFonts w:ascii="Verdana" w:hAnsi="Verdana"/>
            <w:kern w:val="2"/>
            <w:sz w:val="18"/>
            <w:szCs w:val="18"/>
            <w14:ligatures w14:val="standardContextual"/>
          </w:rPr>
        </w:pPr>
        <w:r w:rsidRPr="00232C6D">
          <w:rPr>
            <w:rFonts w:ascii="Verdana" w:hAnsi="Verdana"/>
            <w:sz w:val="18"/>
            <w:szCs w:val="18"/>
          </w:rPr>
          <w:t>F-M-INA-</w:t>
        </w:r>
        <w:proofErr w:type="gramStart"/>
        <w:r w:rsidRPr="00232C6D">
          <w:rPr>
            <w:rFonts w:ascii="Verdana" w:hAnsi="Verdana"/>
            <w:sz w:val="18"/>
            <w:szCs w:val="18"/>
          </w:rPr>
          <w:t>46:V</w:t>
        </w:r>
        <w:proofErr w:type="gramEnd"/>
        <w:r w:rsidR="006E0654">
          <w:rPr>
            <w:rFonts w:ascii="Verdana" w:hAnsi="Verdana"/>
            <w:sz w:val="18"/>
            <w:szCs w:val="18"/>
          </w:rPr>
          <w:t>5</w:t>
        </w:r>
        <w:r w:rsidRPr="00232C6D">
          <w:rPr>
            <w:rFonts w:ascii="Verdana" w:hAnsi="Verdana"/>
            <w:sz w:val="18"/>
            <w:szCs w:val="18"/>
          </w:rPr>
          <w:t xml:space="preserve"> </w:t>
        </w:r>
        <w:r w:rsidR="006E0654">
          <w:rPr>
            <w:rFonts w:ascii="Verdana" w:hAnsi="Verdana"/>
            <w:sz w:val="18"/>
            <w:szCs w:val="18"/>
          </w:rPr>
          <w:t>1</w:t>
        </w:r>
        <w:r w:rsidR="00165874">
          <w:rPr>
            <w:rFonts w:ascii="Verdana" w:hAnsi="Verdana"/>
            <w:sz w:val="18"/>
            <w:szCs w:val="18"/>
          </w:rPr>
          <w:t>7</w:t>
        </w:r>
        <w:r>
          <w:rPr>
            <w:rFonts w:ascii="Verdana" w:hAnsi="Verdana"/>
            <w:sz w:val="18"/>
            <w:szCs w:val="18"/>
          </w:rPr>
          <w:t>-0</w:t>
        </w:r>
        <w:r w:rsidR="006E0654">
          <w:rPr>
            <w:rFonts w:ascii="Verdana" w:hAnsi="Verdana"/>
            <w:sz w:val="18"/>
            <w:szCs w:val="18"/>
          </w:rPr>
          <w:t>2</w:t>
        </w:r>
        <w:r>
          <w:rPr>
            <w:rFonts w:ascii="Verdana" w:hAnsi="Verdana"/>
            <w:sz w:val="18"/>
            <w:szCs w:val="18"/>
          </w:rPr>
          <w:t>-</w:t>
        </w:r>
        <w:r w:rsidRPr="00232C6D">
          <w:rPr>
            <w:rFonts w:ascii="Verdana" w:hAnsi="Verdana"/>
            <w:sz w:val="18"/>
            <w:szCs w:val="18"/>
          </w:rPr>
          <w:t>202</w:t>
        </w:r>
        <w:r w:rsidR="006E0654">
          <w:rPr>
            <w:rFonts w:ascii="Verdana" w:hAnsi="Verdana"/>
            <w:sz w:val="18"/>
            <w:szCs w:val="18"/>
          </w:rPr>
          <w:t>5</w:t>
        </w:r>
      </w:p>
    </w:sdtContent>
  </w:sdt>
  <w:p w14:paraId="6A63EE25" w14:textId="77777777" w:rsidR="003979BF" w:rsidRDefault="003979B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813E7" w14:textId="77777777" w:rsidR="007E529B" w:rsidRDefault="007E529B" w:rsidP="009068CD">
      <w:pPr>
        <w:spacing w:after="0" w:line="240" w:lineRule="auto"/>
      </w:pPr>
      <w:r>
        <w:separator/>
      </w:r>
    </w:p>
  </w:footnote>
  <w:footnote w:type="continuationSeparator" w:id="0">
    <w:p w14:paraId="5C11A064" w14:textId="77777777" w:rsidR="007E529B" w:rsidRDefault="007E529B" w:rsidP="009068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1E54E" w14:textId="5D46D4DC" w:rsidR="009068CD" w:rsidRDefault="009A41BB">
    <w:pPr>
      <w:pStyle w:val="Encabezado"/>
    </w:pPr>
    <w:r>
      <w:rPr>
        <w:noProof/>
      </w:rPr>
      <mc:AlternateContent>
        <mc:Choice Requires="wps">
          <w:drawing>
            <wp:anchor distT="45720" distB="45720" distL="114300" distR="114300" simplePos="0" relativeHeight="251658241" behindDoc="0" locked="0" layoutInCell="1" allowOverlap="1" wp14:anchorId="0FC00653" wp14:editId="205D2290">
              <wp:simplePos x="0" y="0"/>
              <wp:positionH relativeFrom="column">
                <wp:posOffset>-216535</wp:posOffset>
              </wp:positionH>
              <wp:positionV relativeFrom="paragraph">
                <wp:posOffset>692785</wp:posOffset>
              </wp:positionV>
              <wp:extent cx="6165850" cy="406400"/>
              <wp:effectExtent l="0" t="0" r="635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5850" cy="406400"/>
                      </a:xfrm>
                      <a:prstGeom prst="rect">
                        <a:avLst/>
                      </a:prstGeom>
                      <a:solidFill>
                        <a:srgbClr val="FFFFFF"/>
                      </a:solidFill>
                      <a:ln w="9525">
                        <a:noFill/>
                        <a:miter lim="800000"/>
                        <a:headEnd/>
                        <a:tailEnd/>
                      </a:ln>
                    </wps:spPr>
                    <wps:txbx>
                      <w:txbxContent>
                        <w:p w14:paraId="2EDA0606" w14:textId="17BDC3E3" w:rsidR="00C574F5" w:rsidRPr="00C574F5" w:rsidRDefault="00C574F5" w:rsidP="00C574F5">
                          <w:pPr>
                            <w:spacing w:line="276" w:lineRule="auto"/>
                            <w:jc w:val="both"/>
                            <w:rPr>
                              <w:rFonts w:ascii="Verdana" w:hAnsi="Verdana"/>
                              <w:b/>
                              <w:bCs/>
                              <w:sz w:val="18"/>
                              <w:szCs w:val="18"/>
                            </w:rPr>
                          </w:pPr>
                          <w:r w:rsidRPr="00C574F5">
                            <w:rPr>
                              <w:rFonts w:ascii="Verdana" w:hAnsi="Verdana"/>
                              <w:i/>
                              <w:iCs/>
                              <w:sz w:val="18"/>
                              <w:szCs w:val="18"/>
                            </w:rPr>
                            <w:t>“Por la cual se establece la metodología para la expedición de resoluciones de delimitación progresiva en los procesos de delimitación de ecosistemas de páramo y se dictan otras disposiciones”</w:t>
                          </w:r>
                        </w:p>
                        <w:p w14:paraId="22FE1824" w14:textId="45C266A0" w:rsidR="000127C0" w:rsidRPr="000127C0" w:rsidRDefault="000127C0" w:rsidP="000127C0">
                          <w:pPr>
                            <w:spacing w:line="276" w:lineRule="auto"/>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C00653" id="_x0000_t202" coordsize="21600,21600" o:spt="202" path="m,l,21600r21600,l21600,xe">
              <v:stroke joinstyle="miter"/>
              <v:path gradientshapeok="t" o:connecttype="rect"/>
            </v:shapetype>
            <v:shape id="Cuadro de texto 2" o:spid="_x0000_s1026" type="#_x0000_t202" style="position:absolute;margin-left:-17.05pt;margin-top:54.55pt;width:485.5pt;height:32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" stroked="f">
              <v:textbox>
                <w:txbxContent>
                  <w:p w14:paraId="2EDA0606" w14:textId="17BDC3E3" w:rsidR="00C574F5" w:rsidRPr="00C574F5" w:rsidRDefault="00C574F5" w:rsidP="00C574F5">
                    <w:pPr>
                      <w:spacing w:line="276" w:lineRule="auto"/>
                      <w:jc w:val="both"/>
                      <w:rPr>
                        <w:rFonts w:ascii="Verdana" w:hAnsi="Verdana"/>
                        <w:b/>
                        <w:bCs/>
                        <w:sz w:val="18"/>
                        <w:szCs w:val="18"/>
                      </w:rPr>
                    </w:pPr>
                    <w:r w:rsidRPr="00C574F5">
                      <w:rPr>
                        <w:rFonts w:ascii="Verdana" w:hAnsi="Verdana"/>
                        <w:i/>
                        <w:iCs/>
                        <w:sz w:val="18"/>
                        <w:szCs w:val="18"/>
                      </w:rPr>
                      <w:t>“Por la cual se establece la metodología para la expedición de resoluciones de delimitación progresiva en los procesos de delimitación de ecosistemas de páramo y se dictan otras disposiciones”</w:t>
                    </w:r>
                  </w:p>
                  <w:p w14:paraId="22FE1824" w14:textId="45C266A0" w:rsidR="000127C0" w:rsidRPr="000127C0" w:rsidRDefault="000127C0" w:rsidP="000127C0">
                    <w:pPr>
                      <w:spacing w:line="276" w:lineRule="auto"/>
                      <w:jc w:val="both"/>
                    </w:pPr>
                  </w:p>
                </w:txbxContent>
              </v:textbox>
              <w10:wrap type="square"/>
            </v:shape>
          </w:pict>
        </mc:Fallback>
      </mc:AlternateContent>
    </w:r>
    <w:r w:rsidR="00972803" w:rsidRPr="009068CD">
      <w:rPr>
        <w:noProof/>
        <w:lang w:eastAsia="es-CO"/>
      </w:rPr>
      <w:drawing>
        <wp:anchor distT="0" distB="0" distL="114300" distR="114300" simplePos="0" relativeHeight="251658240" behindDoc="0" locked="0" layoutInCell="1" allowOverlap="1" wp14:anchorId="18A5FD51" wp14:editId="577BB29E">
          <wp:simplePos x="0" y="0"/>
          <wp:positionH relativeFrom="margin">
            <wp:posOffset>-664210</wp:posOffset>
          </wp:positionH>
          <wp:positionV relativeFrom="paragraph">
            <wp:posOffset>-450215</wp:posOffset>
          </wp:positionV>
          <wp:extent cx="7056663" cy="11657330"/>
          <wp:effectExtent l="0" t="0" r="0" b="0"/>
          <wp:wrapNone/>
          <wp:docPr id="2037033421" name="Imagen 2037033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56663" cy="116573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5A3DF" w14:textId="77777777" w:rsidR="000127C0" w:rsidRDefault="000127C0">
    <w:pPr>
      <w:pStyle w:val="Encabezado"/>
    </w:pPr>
    <w:r w:rsidRPr="009068CD">
      <w:rPr>
        <w:noProof/>
        <w:lang w:eastAsia="es-CO"/>
      </w:rPr>
      <w:drawing>
        <wp:anchor distT="0" distB="0" distL="114300" distR="114300" simplePos="0" relativeHeight="251658242" behindDoc="0" locked="0" layoutInCell="1" allowOverlap="1" wp14:anchorId="07F69DFE" wp14:editId="0E3C93C0">
          <wp:simplePos x="0" y="0"/>
          <wp:positionH relativeFrom="margin">
            <wp:posOffset>-734060</wp:posOffset>
          </wp:positionH>
          <wp:positionV relativeFrom="paragraph">
            <wp:posOffset>-450215</wp:posOffset>
          </wp:positionV>
          <wp:extent cx="7120857" cy="11763375"/>
          <wp:effectExtent l="0" t="0" r="0" b="0"/>
          <wp:wrapNone/>
          <wp:docPr id="832150799" name="Imagen 832150799" descr="Imagen que contiene Rectángul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34460" name="Imagen 194034460" descr="Imagen que contiene Rectángul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120857" cy="11763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602BF"/>
    <w:multiLevelType w:val="multilevel"/>
    <w:tmpl w:val="01D6D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6233AE"/>
    <w:multiLevelType w:val="multilevel"/>
    <w:tmpl w:val="D5C8E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8A2718"/>
    <w:multiLevelType w:val="multilevel"/>
    <w:tmpl w:val="EDE86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5A542F"/>
    <w:multiLevelType w:val="multilevel"/>
    <w:tmpl w:val="9866E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282C29"/>
    <w:multiLevelType w:val="hybridMultilevel"/>
    <w:tmpl w:val="092C5768"/>
    <w:lvl w:ilvl="0" w:tplc="9C002C0C">
      <w:start w:val="1"/>
      <w:numFmt w:val="bullet"/>
      <w:lvlText w:val=""/>
      <w:lvlJc w:val="left"/>
      <w:pPr>
        <w:ind w:left="720" w:hanging="360"/>
      </w:pPr>
      <w:rPr>
        <w:rFonts w:ascii="Symbol" w:hAnsi="Symbol" w:hint="default"/>
      </w:rPr>
    </w:lvl>
    <w:lvl w:ilvl="1" w:tplc="1DB4DE06">
      <w:start w:val="1"/>
      <w:numFmt w:val="bullet"/>
      <w:lvlText w:val="o"/>
      <w:lvlJc w:val="left"/>
      <w:pPr>
        <w:ind w:left="1440" w:hanging="360"/>
      </w:pPr>
      <w:rPr>
        <w:rFonts w:ascii="Courier New" w:hAnsi="Courier New" w:hint="default"/>
      </w:rPr>
    </w:lvl>
    <w:lvl w:ilvl="2" w:tplc="498CF086">
      <w:start w:val="1"/>
      <w:numFmt w:val="bullet"/>
      <w:lvlText w:val=""/>
      <w:lvlJc w:val="left"/>
      <w:pPr>
        <w:ind w:left="2160" w:hanging="360"/>
      </w:pPr>
      <w:rPr>
        <w:rFonts w:ascii="Wingdings" w:hAnsi="Wingdings" w:hint="default"/>
      </w:rPr>
    </w:lvl>
    <w:lvl w:ilvl="3" w:tplc="E7289B72">
      <w:start w:val="1"/>
      <w:numFmt w:val="bullet"/>
      <w:lvlText w:val=""/>
      <w:lvlJc w:val="left"/>
      <w:pPr>
        <w:ind w:left="2880" w:hanging="360"/>
      </w:pPr>
      <w:rPr>
        <w:rFonts w:ascii="Symbol" w:hAnsi="Symbol" w:hint="default"/>
      </w:rPr>
    </w:lvl>
    <w:lvl w:ilvl="4" w:tplc="E318B1BA">
      <w:start w:val="1"/>
      <w:numFmt w:val="bullet"/>
      <w:lvlText w:val="o"/>
      <w:lvlJc w:val="left"/>
      <w:pPr>
        <w:ind w:left="3600" w:hanging="360"/>
      </w:pPr>
      <w:rPr>
        <w:rFonts w:ascii="Courier New" w:hAnsi="Courier New" w:hint="default"/>
      </w:rPr>
    </w:lvl>
    <w:lvl w:ilvl="5" w:tplc="BDE0CF8E">
      <w:start w:val="1"/>
      <w:numFmt w:val="bullet"/>
      <w:lvlText w:val=""/>
      <w:lvlJc w:val="left"/>
      <w:pPr>
        <w:ind w:left="4320" w:hanging="360"/>
      </w:pPr>
      <w:rPr>
        <w:rFonts w:ascii="Wingdings" w:hAnsi="Wingdings" w:hint="default"/>
      </w:rPr>
    </w:lvl>
    <w:lvl w:ilvl="6" w:tplc="0D1A119C">
      <w:start w:val="1"/>
      <w:numFmt w:val="bullet"/>
      <w:lvlText w:val=""/>
      <w:lvlJc w:val="left"/>
      <w:pPr>
        <w:ind w:left="5040" w:hanging="360"/>
      </w:pPr>
      <w:rPr>
        <w:rFonts w:ascii="Symbol" w:hAnsi="Symbol" w:hint="default"/>
      </w:rPr>
    </w:lvl>
    <w:lvl w:ilvl="7" w:tplc="D264DE96">
      <w:start w:val="1"/>
      <w:numFmt w:val="bullet"/>
      <w:lvlText w:val="o"/>
      <w:lvlJc w:val="left"/>
      <w:pPr>
        <w:ind w:left="5760" w:hanging="360"/>
      </w:pPr>
      <w:rPr>
        <w:rFonts w:ascii="Courier New" w:hAnsi="Courier New" w:hint="default"/>
      </w:rPr>
    </w:lvl>
    <w:lvl w:ilvl="8" w:tplc="CED69AB6">
      <w:start w:val="1"/>
      <w:numFmt w:val="bullet"/>
      <w:lvlText w:val=""/>
      <w:lvlJc w:val="left"/>
      <w:pPr>
        <w:ind w:left="6480" w:hanging="360"/>
      </w:pPr>
      <w:rPr>
        <w:rFonts w:ascii="Wingdings" w:hAnsi="Wingdings" w:hint="default"/>
      </w:rPr>
    </w:lvl>
  </w:abstractNum>
  <w:abstractNum w:abstractNumId="5" w15:restartNumberingAfterBreak="0">
    <w:nsid w:val="2CE34AE6"/>
    <w:multiLevelType w:val="hybridMultilevel"/>
    <w:tmpl w:val="60D2CF8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5B47BF1"/>
    <w:multiLevelType w:val="hybridMultilevel"/>
    <w:tmpl w:val="778E2452"/>
    <w:lvl w:ilvl="0" w:tplc="7EDE7CE8">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BB604FD"/>
    <w:multiLevelType w:val="hybridMultilevel"/>
    <w:tmpl w:val="679683B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4336347A"/>
    <w:multiLevelType w:val="hybridMultilevel"/>
    <w:tmpl w:val="0336794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483C794B"/>
    <w:multiLevelType w:val="hybridMultilevel"/>
    <w:tmpl w:val="3292876E"/>
    <w:lvl w:ilvl="0" w:tplc="540A91DC">
      <w:start w:val="1"/>
      <w:numFmt w:val="lowerLetter"/>
      <w:lvlText w:val="%1."/>
      <w:lvlJc w:val="left"/>
      <w:pPr>
        <w:ind w:left="435" w:hanging="360"/>
      </w:pPr>
      <w:rPr>
        <w:rFonts w:hint="default"/>
      </w:rPr>
    </w:lvl>
    <w:lvl w:ilvl="1" w:tplc="240A0019" w:tentative="1">
      <w:start w:val="1"/>
      <w:numFmt w:val="lowerLetter"/>
      <w:lvlText w:val="%2."/>
      <w:lvlJc w:val="left"/>
      <w:pPr>
        <w:ind w:left="1155" w:hanging="360"/>
      </w:pPr>
    </w:lvl>
    <w:lvl w:ilvl="2" w:tplc="240A001B" w:tentative="1">
      <w:start w:val="1"/>
      <w:numFmt w:val="lowerRoman"/>
      <w:lvlText w:val="%3."/>
      <w:lvlJc w:val="right"/>
      <w:pPr>
        <w:ind w:left="1875" w:hanging="180"/>
      </w:pPr>
    </w:lvl>
    <w:lvl w:ilvl="3" w:tplc="240A000F" w:tentative="1">
      <w:start w:val="1"/>
      <w:numFmt w:val="decimal"/>
      <w:lvlText w:val="%4."/>
      <w:lvlJc w:val="left"/>
      <w:pPr>
        <w:ind w:left="2595" w:hanging="360"/>
      </w:pPr>
    </w:lvl>
    <w:lvl w:ilvl="4" w:tplc="240A0019" w:tentative="1">
      <w:start w:val="1"/>
      <w:numFmt w:val="lowerLetter"/>
      <w:lvlText w:val="%5."/>
      <w:lvlJc w:val="left"/>
      <w:pPr>
        <w:ind w:left="3315" w:hanging="360"/>
      </w:pPr>
    </w:lvl>
    <w:lvl w:ilvl="5" w:tplc="240A001B" w:tentative="1">
      <w:start w:val="1"/>
      <w:numFmt w:val="lowerRoman"/>
      <w:lvlText w:val="%6."/>
      <w:lvlJc w:val="right"/>
      <w:pPr>
        <w:ind w:left="4035" w:hanging="180"/>
      </w:pPr>
    </w:lvl>
    <w:lvl w:ilvl="6" w:tplc="240A000F" w:tentative="1">
      <w:start w:val="1"/>
      <w:numFmt w:val="decimal"/>
      <w:lvlText w:val="%7."/>
      <w:lvlJc w:val="left"/>
      <w:pPr>
        <w:ind w:left="4755" w:hanging="360"/>
      </w:pPr>
    </w:lvl>
    <w:lvl w:ilvl="7" w:tplc="240A0019" w:tentative="1">
      <w:start w:val="1"/>
      <w:numFmt w:val="lowerLetter"/>
      <w:lvlText w:val="%8."/>
      <w:lvlJc w:val="left"/>
      <w:pPr>
        <w:ind w:left="5475" w:hanging="360"/>
      </w:pPr>
    </w:lvl>
    <w:lvl w:ilvl="8" w:tplc="240A001B" w:tentative="1">
      <w:start w:val="1"/>
      <w:numFmt w:val="lowerRoman"/>
      <w:lvlText w:val="%9."/>
      <w:lvlJc w:val="right"/>
      <w:pPr>
        <w:ind w:left="6195" w:hanging="180"/>
      </w:pPr>
    </w:lvl>
  </w:abstractNum>
  <w:abstractNum w:abstractNumId="10" w15:restartNumberingAfterBreak="0">
    <w:nsid w:val="4C98282E"/>
    <w:multiLevelType w:val="hybridMultilevel"/>
    <w:tmpl w:val="AA4EEAA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54660CAE"/>
    <w:multiLevelType w:val="hybridMultilevel"/>
    <w:tmpl w:val="232CCB36"/>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15:restartNumberingAfterBreak="0">
    <w:nsid w:val="626053EB"/>
    <w:multiLevelType w:val="hybridMultilevel"/>
    <w:tmpl w:val="541659A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500AA09"/>
    <w:multiLevelType w:val="multilevel"/>
    <w:tmpl w:val="B71403B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lef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lef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left"/>
      <w:pPr>
        <w:ind w:left="7200" w:hanging="360"/>
      </w:pPr>
      <w:rPr>
        <w:u w:val="none"/>
      </w:rPr>
    </w:lvl>
  </w:abstractNum>
  <w:abstractNum w:abstractNumId="14" w15:restartNumberingAfterBreak="0">
    <w:nsid w:val="67310F00"/>
    <w:multiLevelType w:val="multilevel"/>
    <w:tmpl w:val="591C1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C75625"/>
    <w:multiLevelType w:val="multilevel"/>
    <w:tmpl w:val="3E103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B43C06"/>
    <w:multiLevelType w:val="hybridMultilevel"/>
    <w:tmpl w:val="F18895E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ABA7C80"/>
    <w:multiLevelType w:val="hybridMultilevel"/>
    <w:tmpl w:val="8CAE6EF6"/>
    <w:lvl w:ilvl="0" w:tplc="EB6AFAE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D5C0D10"/>
    <w:multiLevelType w:val="multilevel"/>
    <w:tmpl w:val="B0403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50971932">
    <w:abstractNumId w:val="4"/>
  </w:num>
  <w:num w:numId="2" w16cid:durableId="1638757617">
    <w:abstractNumId w:val="13"/>
  </w:num>
  <w:num w:numId="3" w16cid:durableId="400910565">
    <w:abstractNumId w:val="16"/>
  </w:num>
  <w:num w:numId="4" w16cid:durableId="1735857045">
    <w:abstractNumId w:val="5"/>
  </w:num>
  <w:num w:numId="5" w16cid:durableId="1350764972">
    <w:abstractNumId w:val="12"/>
  </w:num>
  <w:num w:numId="6" w16cid:durableId="2002267954">
    <w:abstractNumId w:val="11"/>
  </w:num>
  <w:num w:numId="7" w16cid:durableId="1724479546">
    <w:abstractNumId w:val="2"/>
  </w:num>
  <w:num w:numId="8" w16cid:durableId="915168408">
    <w:abstractNumId w:val="15"/>
  </w:num>
  <w:num w:numId="9" w16cid:durableId="1793205423">
    <w:abstractNumId w:val="3"/>
  </w:num>
  <w:num w:numId="10" w16cid:durableId="1314874309">
    <w:abstractNumId w:val="1"/>
  </w:num>
  <w:num w:numId="11" w16cid:durableId="1352878498">
    <w:abstractNumId w:val="14"/>
  </w:num>
  <w:num w:numId="12" w16cid:durableId="1881043262">
    <w:abstractNumId w:val="9"/>
  </w:num>
  <w:num w:numId="13" w16cid:durableId="534389246">
    <w:abstractNumId w:val="8"/>
  </w:num>
  <w:num w:numId="14" w16cid:durableId="1804956042">
    <w:abstractNumId w:val="10"/>
  </w:num>
  <w:num w:numId="15" w16cid:durableId="156573830">
    <w:abstractNumId w:val="17"/>
  </w:num>
  <w:num w:numId="16" w16cid:durableId="1560239813">
    <w:abstractNumId w:val="6"/>
  </w:num>
  <w:num w:numId="17" w16cid:durableId="1228222756">
    <w:abstractNumId w:val="0"/>
  </w:num>
  <w:num w:numId="18" w16cid:durableId="1824540364">
    <w:abstractNumId w:val="18"/>
  </w:num>
  <w:num w:numId="19" w16cid:durableId="4385747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8CD"/>
    <w:rsid w:val="000050AD"/>
    <w:rsid w:val="0001113C"/>
    <w:rsid w:val="00011C02"/>
    <w:rsid w:val="000127C0"/>
    <w:rsid w:val="00013AB7"/>
    <w:rsid w:val="0001460A"/>
    <w:rsid w:val="00027644"/>
    <w:rsid w:val="0003214E"/>
    <w:rsid w:val="000332E1"/>
    <w:rsid w:val="0003538E"/>
    <w:rsid w:val="0004760B"/>
    <w:rsid w:val="00057F2C"/>
    <w:rsid w:val="000638EC"/>
    <w:rsid w:val="000676D0"/>
    <w:rsid w:val="00067D07"/>
    <w:rsid w:val="000750C9"/>
    <w:rsid w:val="00075D9F"/>
    <w:rsid w:val="0007773F"/>
    <w:rsid w:val="0009252D"/>
    <w:rsid w:val="000A1095"/>
    <w:rsid w:val="000A37DB"/>
    <w:rsid w:val="000B1C67"/>
    <w:rsid w:val="000B7F0A"/>
    <w:rsid w:val="000D3A19"/>
    <w:rsid w:val="000E0EAE"/>
    <w:rsid w:val="000F2EB7"/>
    <w:rsid w:val="000F78F6"/>
    <w:rsid w:val="00100B07"/>
    <w:rsid w:val="00110AA6"/>
    <w:rsid w:val="0011406B"/>
    <w:rsid w:val="00115842"/>
    <w:rsid w:val="00122D9D"/>
    <w:rsid w:val="00126EE5"/>
    <w:rsid w:val="00131148"/>
    <w:rsid w:val="00131476"/>
    <w:rsid w:val="00131FD2"/>
    <w:rsid w:val="0013537B"/>
    <w:rsid w:val="0014187E"/>
    <w:rsid w:val="00141926"/>
    <w:rsid w:val="00143C79"/>
    <w:rsid w:val="0014574A"/>
    <w:rsid w:val="001464D6"/>
    <w:rsid w:val="00146DFB"/>
    <w:rsid w:val="00152389"/>
    <w:rsid w:val="00153DB5"/>
    <w:rsid w:val="0015446C"/>
    <w:rsid w:val="00154C8B"/>
    <w:rsid w:val="00164CA1"/>
    <w:rsid w:val="0016512A"/>
    <w:rsid w:val="00165874"/>
    <w:rsid w:val="00171319"/>
    <w:rsid w:val="0017510B"/>
    <w:rsid w:val="00176497"/>
    <w:rsid w:val="0018024D"/>
    <w:rsid w:val="001828BA"/>
    <w:rsid w:val="00182B36"/>
    <w:rsid w:val="00186D79"/>
    <w:rsid w:val="00191FF1"/>
    <w:rsid w:val="001A1374"/>
    <w:rsid w:val="001B025D"/>
    <w:rsid w:val="001B0302"/>
    <w:rsid w:val="001B542F"/>
    <w:rsid w:val="001C47F6"/>
    <w:rsid w:val="001D1AF2"/>
    <w:rsid w:val="001D2F78"/>
    <w:rsid w:val="001D45D5"/>
    <w:rsid w:val="001D737B"/>
    <w:rsid w:val="001D7DD9"/>
    <w:rsid w:val="001E4052"/>
    <w:rsid w:val="001E446F"/>
    <w:rsid w:val="001E7285"/>
    <w:rsid w:val="001E7D92"/>
    <w:rsid w:val="001F0A9E"/>
    <w:rsid w:val="002046E7"/>
    <w:rsid w:val="002115A6"/>
    <w:rsid w:val="00215AE3"/>
    <w:rsid w:val="002252D6"/>
    <w:rsid w:val="00232C6D"/>
    <w:rsid w:val="00235C85"/>
    <w:rsid w:val="00240CA0"/>
    <w:rsid w:val="0024205D"/>
    <w:rsid w:val="002422CE"/>
    <w:rsid w:val="00252944"/>
    <w:rsid w:val="00252967"/>
    <w:rsid w:val="0025299F"/>
    <w:rsid w:val="00261B6B"/>
    <w:rsid w:val="0026494E"/>
    <w:rsid w:val="002657D9"/>
    <w:rsid w:val="00265BDF"/>
    <w:rsid w:val="00271FFD"/>
    <w:rsid w:val="002724A1"/>
    <w:rsid w:val="00280D77"/>
    <w:rsid w:val="00283BCB"/>
    <w:rsid w:val="00287378"/>
    <w:rsid w:val="00290793"/>
    <w:rsid w:val="00290A45"/>
    <w:rsid w:val="00294B16"/>
    <w:rsid w:val="002961D6"/>
    <w:rsid w:val="002A4E84"/>
    <w:rsid w:val="002A6E0C"/>
    <w:rsid w:val="002B118D"/>
    <w:rsid w:val="002C56ED"/>
    <w:rsid w:val="002D0073"/>
    <w:rsid w:val="002D6312"/>
    <w:rsid w:val="002E2304"/>
    <w:rsid w:val="002E272A"/>
    <w:rsid w:val="002E4FB3"/>
    <w:rsid w:val="002F546A"/>
    <w:rsid w:val="003015E1"/>
    <w:rsid w:val="00305E11"/>
    <w:rsid w:val="003121F7"/>
    <w:rsid w:val="00322900"/>
    <w:rsid w:val="00324750"/>
    <w:rsid w:val="003261BA"/>
    <w:rsid w:val="00335CCC"/>
    <w:rsid w:val="00341A9C"/>
    <w:rsid w:val="00343A06"/>
    <w:rsid w:val="00346C7B"/>
    <w:rsid w:val="00350CBF"/>
    <w:rsid w:val="00353093"/>
    <w:rsid w:val="003537BC"/>
    <w:rsid w:val="00353B8B"/>
    <w:rsid w:val="00354F9F"/>
    <w:rsid w:val="00362D9E"/>
    <w:rsid w:val="00364A2C"/>
    <w:rsid w:val="003703EA"/>
    <w:rsid w:val="00374496"/>
    <w:rsid w:val="00380496"/>
    <w:rsid w:val="00384943"/>
    <w:rsid w:val="00387BDD"/>
    <w:rsid w:val="003965C0"/>
    <w:rsid w:val="003979BF"/>
    <w:rsid w:val="003A528A"/>
    <w:rsid w:val="003A6A6B"/>
    <w:rsid w:val="003A6C34"/>
    <w:rsid w:val="003A7073"/>
    <w:rsid w:val="003B0FAE"/>
    <w:rsid w:val="003B5A30"/>
    <w:rsid w:val="003C0F23"/>
    <w:rsid w:val="003C26C6"/>
    <w:rsid w:val="003C4567"/>
    <w:rsid w:val="003D2C66"/>
    <w:rsid w:val="003D4EA5"/>
    <w:rsid w:val="003D6968"/>
    <w:rsid w:val="003E2B3F"/>
    <w:rsid w:val="003E4463"/>
    <w:rsid w:val="003F3C09"/>
    <w:rsid w:val="004124D8"/>
    <w:rsid w:val="00414314"/>
    <w:rsid w:val="00414911"/>
    <w:rsid w:val="004221EE"/>
    <w:rsid w:val="00426960"/>
    <w:rsid w:val="004303CD"/>
    <w:rsid w:val="0044174F"/>
    <w:rsid w:val="00442994"/>
    <w:rsid w:val="004447B1"/>
    <w:rsid w:val="00454DA3"/>
    <w:rsid w:val="00464AA3"/>
    <w:rsid w:val="00464EE9"/>
    <w:rsid w:val="0047277C"/>
    <w:rsid w:val="00474F82"/>
    <w:rsid w:val="00477160"/>
    <w:rsid w:val="0048058A"/>
    <w:rsid w:val="004811D1"/>
    <w:rsid w:val="00494E87"/>
    <w:rsid w:val="004A0EB7"/>
    <w:rsid w:val="004A2565"/>
    <w:rsid w:val="004A5F29"/>
    <w:rsid w:val="004A5FB8"/>
    <w:rsid w:val="004C0464"/>
    <w:rsid w:val="004C24B1"/>
    <w:rsid w:val="004C6C2B"/>
    <w:rsid w:val="004C7B33"/>
    <w:rsid w:val="004D554F"/>
    <w:rsid w:val="004D67FF"/>
    <w:rsid w:val="004E1A9C"/>
    <w:rsid w:val="004E1C89"/>
    <w:rsid w:val="004E27D1"/>
    <w:rsid w:val="0051137C"/>
    <w:rsid w:val="00521472"/>
    <w:rsid w:val="00521E7B"/>
    <w:rsid w:val="00523E9F"/>
    <w:rsid w:val="0053056C"/>
    <w:rsid w:val="0053618D"/>
    <w:rsid w:val="0054143D"/>
    <w:rsid w:val="00545145"/>
    <w:rsid w:val="00547B41"/>
    <w:rsid w:val="00555AC1"/>
    <w:rsid w:val="00570ACB"/>
    <w:rsid w:val="005750DC"/>
    <w:rsid w:val="00587BCF"/>
    <w:rsid w:val="00591E5D"/>
    <w:rsid w:val="005A2D21"/>
    <w:rsid w:val="005A35F0"/>
    <w:rsid w:val="005A3926"/>
    <w:rsid w:val="005C11A6"/>
    <w:rsid w:val="005C5294"/>
    <w:rsid w:val="005C6156"/>
    <w:rsid w:val="005C6EB6"/>
    <w:rsid w:val="005D27D4"/>
    <w:rsid w:val="005D5665"/>
    <w:rsid w:val="005E0C5B"/>
    <w:rsid w:val="005E6AC6"/>
    <w:rsid w:val="005E743E"/>
    <w:rsid w:val="005F059D"/>
    <w:rsid w:val="005F6D52"/>
    <w:rsid w:val="005F7A9F"/>
    <w:rsid w:val="0060089A"/>
    <w:rsid w:val="006117A4"/>
    <w:rsid w:val="006166BF"/>
    <w:rsid w:val="006255F5"/>
    <w:rsid w:val="006279FC"/>
    <w:rsid w:val="0063757B"/>
    <w:rsid w:val="006424AC"/>
    <w:rsid w:val="00643FBF"/>
    <w:rsid w:val="00644CF0"/>
    <w:rsid w:val="00651197"/>
    <w:rsid w:val="006512CF"/>
    <w:rsid w:val="00675531"/>
    <w:rsid w:val="00676D44"/>
    <w:rsid w:val="00683763"/>
    <w:rsid w:val="00683CEF"/>
    <w:rsid w:val="0068579B"/>
    <w:rsid w:val="006858D6"/>
    <w:rsid w:val="0069106B"/>
    <w:rsid w:val="006916DD"/>
    <w:rsid w:val="00692989"/>
    <w:rsid w:val="00693DF1"/>
    <w:rsid w:val="006A25C9"/>
    <w:rsid w:val="006A388A"/>
    <w:rsid w:val="006A69AE"/>
    <w:rsid w:val="006A733C"/>
    <w:rsid w:val="006C0A98"/>
    <w:rsid w:val="006C6068"/>
    <w:rsid w:val="006D1135"/>
    <w:rsid w:val="006D5FCA"/>
    <w:rsid w:val="006E0654"/>
    <w:rsid w:val="006E6EA2"/>
    <w:rsid w:val="007040FD"/>
    <w:rsid w:val="00705D79"/>
    <w:rsid w:val="00717AB6"/>
    <w:rsid w:val="0072203E"/>
    <w:rsid w:val="00742762"/>
    <w:rsid w:val="007504E5"/>
    <w:rsid w:val="00750C3A"/>
    <w:rsid w:val="00753A8C"/>
    <w:rsid w:val="0075731F"/>
    <w:rsid w:val="0076510D"/>
    <w:rsid w:val="00766483"/>
    <w:rsid w:val="00770652"/>
    <w:rsid w:val="00777906"/>
    <w:rsid w:val="00790806"/>
    <w:rsid w:val="00791C63"/>
    <w:rsid w:val="007923BA"/>
    <w:rsid w:val="007941D7"/>
    <w:rsid w:val="007A0E45"/>
    <w:rsid w:val="007A470D"/>
    <w:rsid w:val="007A5946"/>
    <w:rsid w:val="007A612F"/>
    <w:rsid w:val="007C181A"/>
    <w:rsid w:val="007C486D"/>
    <w:rsid w:val="007D236C"/>
    <w:rsid w:val="007D4AF7"/>
    <w:rsid w:val="007E467C"/>
    <w:rsid w:val="007E529B"/>
    <w:rsid w:val="007E5692"/>
    <w:rsid w:val="007E5BDF"/>
    <w:rsid w:val="007F02FB"/>
    <w:rsid w:val="007F10CB"/>
    <w:rsid w:val="007F2C0B"/>
    <w:rsid w:val="00817D5B"/>
    <w:rsid w:val="008231F8"/>
    <w:rsid w:val="00823973"/>
    <w:rsid w:val="008317F9"/>
    <w:rsid w:val="00832F61"/>
    <w:rsid w:val="00833CE4"/>
    <w:rsid w:val="008341BB"/>
    <w:rsid w:val="008426AE"/>
    <w:rsid w:val="00842D34"/>
    <w:rsid w:val="00847CC6"/>
    <w:rsid w:val="00851F69"/>
    <w:rsid w:val="00864D73"/>
    <w:rsid w:val="00873610"/>
    <w:rsid w:val="0087494A"/>
    <w:rsid w:val="00884B38"/>
    <w:rsid w:val="00887A2A"/>
    <w:rsid w:val="00890B0F"/>
    <w:rsid w:val="00892E36"/>
    <w:rsid w:val="0089571A"/>
    <w:rsid w:val="00896120"/>
    <w:rsid w:val="008971A4"/>
    <w:rsid w:val="0089745B"/>
    <w:rsid w:val="008B26B8"/>
    <w:rsid w:val="008B6B7B"/>
    <w:rsid w:val="008C41F6"/>
    <w:rsid w:val="008C66C4"/>
    <w:rsid w:val="008C684A"/>
    <w:rsid w:val="008D661E"/>
    <w:rsid w:val="008F69E7"/>
    <w:rsid w:val="008F7208"/>
    <w:rsid w:val="00901F46"/>
    <w:rsid w:val="00903C1B"/>
    <w:rsid w:val="009068CD"/>
    <w:rsid w:val="00906BEA"/>
    <w:rsid w:val="009101FA"/>
    <w:rsid w:val="009129DE"/>
    <w:rsid w:val="009275C0"/>
    <w:rsid w:val="009364A1"/>
    <w:rsid w:val="00936578"/>
    <w:rsid w:val="009401B8"/>
    <w:rsid w:val="00943260"/>
    <w:rsid w:val="00946505"/>
    <w:rsid w:val="00951E3B"/>
    <w:rsid w:val="00962913"/>
    <w:rsid w:val="00964529"/>
    <w:rsid w:val="00972803"/>
    <w:rsid w:val="00982B0E"/>
    <w:rsid w:val="0098511C"/>
    <w:rsid w:val="00985BC3"/>
    <w:rsid w:val="00991F49"/>
    <w:rsid w:val="00993430"/>
    <w:rsid w:val="009960EB"/>
    <w:rsid w:val="009A07AF"/>
    <w:rsid w:val="009A3CEF"/>
    <w:rsid w:val="009A41BB"/>
    <w:rsid w:val="009B1C25"/>
    <w:rsid w:val="009C5232"/>
    <w:rsid w:val="009C65ED"/>
    <w:rsid w:val="009E50FA"/>
    <w:rsid w:val="009E7839"/>
    <w:rsid w:val="009F61A3"/>
    <w:rsid w:val="009F6DA0"/>
    <w:rsid w:val="009F70A8"/>
    <w:rsid w:val="00A06C48"/>
    <w:rsid w:val="00A06E33"/>
    <w:rsid w:val="00A16321"/>
    <w:rsid w:val="00A23DB2"/>
    <w:rsid w:val="00A504B7"/>
    <w:rsid w:val="00A52510"/>
    <w:rsid w:val="00A536AF"/>
    <w:rsid w:val="00A575BC"/>
    <w:rsid w:val="00A71FB6"/>
    <w:rsid w:val="00A732FE"/>
    <w:rsid w:val="00A753C0"/>
    <w:rsid w:val="00A80115"/>
    <w:rsid w:val="00A80309"/>
    <w:rsid w:val="00A80E89"/>
    <w:rsid w:val="00A844EC"/>
    <w:rsid w:val="00A868DE"/>
    <w:rsid w:val="00A91DB6"/>
    <w:rsid w:val="00A94146"/>
    <w:rsid w:val="00A94EE3"/>
    <w:rsid w:val="00A96371"/>
    <w:rsid w:val="00AA0916"/>
    <w:rsid w:val="00AA5B8E"/>
    <w:rsid w:val="00AB1B2C"/>
    <w:rsid w:val="00AB2617"/>
    <w:rsid w:val="00AC38B3"/>
    <w:rsid w:val="00AE1838"/>
    <w:rsid w:val="00AE2BE5"/>
    <w:rsid w:val="00AE3D9D"/>
    <w:rsid w:val="00AF45E3"/>
    <w:rsid w:val="00AF7971"/>
    <w:rsid w:val="00B02FFB"/>
    <w:rsid w:val="00B05C8F"/>
    <w:rsid w:val="00B07B59"/>
    <w:rsid w:val="00B1061D"/>
    <w:rsid w:val="00B134F5"/>
    <w:rsid w:val="00B15459"/>
    <w:rsid w:val="00B16D00"/>
    <w:rsid w:val="00B17675"/>
    <w:rsid w:val="00B20FB0"/>
    <w:rsid w:val="00B27DD7"/>
    <w:rsid w:val="00B31932"/>
    <w:rsid w:val="00B35808"/>
    <w:rsid w:val="00B4258B"/>
    <w:rsid w:val="00B44E75"/>
    <w:rsid w:val="00B5418A"/>
    <w:rsid w:val="00B62001"/>
    <w:rsid w:val="00B67DFE"/>
    <w:rsid w:val="00B72F13"/>
    <w:rsid w:val="00B737E5"/>
    <w:rsid w:val="00B8043D"/>
    <w:rsid w:val="00B859DF"/>
    <w:rsid w:val="00B91F44"/>
    <w:rsid w:val="00B92390"/>
    <w:rsid w:val="00B928F4"/>
    <w:rsid w:val="00B94610"/>
    <w:rsid w:val="00BA2807"/>
    <w:rsid w:val="00BC366D"/>
    <w:rsid w:val="00BC3941"/>
    <w:rsid w:val="00BC6C75"/>
    <w:rsid w:val="00BD28B5"/>
    <w:rsid w:val="00BD3D75"/>
    <w:rsid w:val="00BD44EB"/>
    <w:rsid w:val="00BD4778"/>
    <w:rsid w:val="00BE0577"/>
    <w:rsid w:val="00BF1074"/>
    <w:rsid w:val="00BF48A7"/>
    <w:rsid w:val="00C12045"/>
    <w:rsid w:val="00C15796"/>
    <w:rsid w:val="00C20423"/>
    <w:rsid w:val="00C25A8F"/>
    <w:rsid w:val="00C25C6B"/>
    <w:rsid w:val="00C27DDD"/>
    <w:rsid w:val="00C31906"/>
    <w:rsid w:val="00C36784"/>
    <w:rsid w:val="00C44111"/>
    <w:rsid w:val="00C56757"/>
    <w:rsid w:val="00C574F5"/>
    <w:rsid w:val="00C71E35"/>
    <w:rsid w:val="00C71E8D"/>
    <w:rsid w:val="00C721BB"/>
    <w:rsid w:val="00C770FC"/>
    <w:rsid w:val="00C91BA0"/>
    <w:rsid w:val="00C92A20"/>
    <w:rsid w:val="00C92B25"/>
    <w:rsid w:val="00C92B5C"/>
    <w:rsid w:val="00C968B5"/>
    <w:rsid w:val="00CA7C53"/>
    <w:rsid w:val="00CB1604"/>
    <w:rsid w:val="00CC7609"/>
    <w:rsid w:val="00CD00C3"/>
    <w:rsid w:val="00CF41E3"/>
    <w:rsid w:val="00D0065E"/>
    <w:rsid w:val="00D07B43"/>
    <w:rsid w:val="00D123EA"/>
    <w:rsid w:val="00D21E25"/>
    <w:rsid w:val="00D23B50"/>
    <w:rsid w:val="00D3011D"/>
    <w:rsid w:val="00D30FB2"/>
    <w:rsid w:val="00D34A91"/>
    <w:rsid w:val="00D371A1"/>
    <w:rsid w:val="00D44D9A"/>
    <w:rsid w:val="00D45C90"/>
    <w:rsid w:val="00D4647A"/>
    <w:rsid w:val="00D47F07"/>
    <w:rsid w:val="00D51031"/>
    <w:rsid w:val="00D53E67"/>
    <w:rsid w:val="00D6499E"/>
    <w:rsid w:val="00D75EE6"/>
    <w:rsid w:val="00D8591C"/>
    <w:rsid w:val="00D867CF"/>
    <w:rsid w:val="00D92F51"/>
    <w:rsid w:val="00DA01F1"/>
    <w:rsid w:val="00DA184B"/>
    <w:rsid w:val="00DD3C5F"/>
    <w:rsid w:val="00DD68E3"/>
    <w:rsid w:val="00DE7C38"/>
    <w:rsid w:val="00DF02B8"/>
    <w:rsid w:val="00DF42A0"/>
    <w:rsid w:val="00DF5177"/>
    <w:rsid w:val="00DF6125"/>
    <w:rsid w:val="00E00D91"/>
    <w:rsid w:val="00E027C2"/>
    <w:rsid w:val="00E11FDA"/>
    <w:rsid w:val="00E14803"/>
    <w:rsid w:val="00E17B36"/>
    <w:rsid w:val="00E2010A"/>
    <w:rsid w:val="00E24E80"/>
    <w:rsid w:val="00E3417A"/>
    <w:rsid w:val="00E44955"/>
    <w:rsid w:val="00E505A7"/>
    <w:rsid w:val="00E66C8A"/>
    <w:rsid w:val="00E67666"/>
    <w:rsid w:val="00E71DAE"/>
    <w:rsid w:val="00E80552"/>
    <w:rsid w:val="00E81EE3"/>
    <w:rsid w:val="00E86BFD"/>
    <w:rsid w:val="00E9156F"/>
    <w:rsid w:val="00E92D61"/>
    <w:rsid w:val="00E92DF4"/>
    <w:rsid w:val="00EA1EF8"/>
    <w:rsid w:val="00EA27B0"/>
    <w:rsid w:val="00EB20D5"/>
    <w:rsid w:val="00EB26C7"/>
    <w:rsid w:val="00EB36DD"/>
    <w:rsid w:val="00EC3380"/>
    <w:rsid w:val="00EC56C3"/>
    <w:rsid w:val="00ED065D"/>
    <w:rsid w:val="00EE26AA"/>
    <w:rsid w:val="00EE2A02"/>
    <w:rsid w:val="00EF4235"/>
    <w:rsid w:val="00EF4C15"/>
    <w:rsid w:val="00EF67EF"/>
    <w:rsid w:val="00F008BF"/>
    <w:rsid w:val="00F10FCE"/>
    <w:rsid w:val="00F23CBC"/>
    <w:rsid w:val="00F25B3A"/>
    <w:rsid w:val="00F263AC"/>
    <w:rsid w:val="00F3374E"/>
    <w:rsid w:val="00F33CC9"/>
    <w:rsid w:val="00F368A4"/>
    <w:rsid w:val="00F4173C"/>
    <w:rsid w:val="00F428A8"/>
    <w:rsid w:val="00F473D1"/>
    <w:rsid w:val="00F63497"/>
    <w:rsid w:val="00F72617"/>
    <w:rsid w:val="00F80401"/>
    <w:rsid w:val="00F80818"/>
    <w:rsid w:val="00F87F38"/>
    <w:rsid w:val="00F94C93"/>
    <w:rsid w:val="00F96870"/>
    <w:rsid w:val="00F97012"/>
    <w:rsid w:val="00F972A6"/>
    <w:rsid w:val="00FA0244"/>
    <w:rsid w:val="00FA170C"/>
    <w:rsid w:val="00FA7E48"/>
    <w:rsid w:val="00FB1238"/>
    <w:rsid w:val="00FB3080"/>
    <w:rsid w:val="00FC4A89"/>
    <w:rsid w:val="00FC4C38"/>
    <w:rsid w:val="00FC62BD"/>
    <w:rsid w:val="00FD2F1F"/>
    <w:rsid w:val="00FE1308"/>
    <w:rsid w:val="00FE1688"/>
    <w:rsid w:val="00FF28DF"/>
    <w:rsid w:val="00FF5571"/>
    <w:rsid w:val="0A503D0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4839AE"/>
  <w15:chartTrackingRefBased/>
  <w15:docId w15:val="{333A4485-1722-407A-ACCD-3EEB6A01D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8CD"/>
    <w:pPr>
      <w:spacing w:line="256" w:lineRule="auto"/>
    </w:pPr>
    <w:rPr>
      <w:kern w:val="2"/>
      <w14:ligatures w14:val="standardContextual"/>
    </w:rPr>
  </w:style>
  <w:style w:type="paragraph" w:styleId="Ttulo2">
    <w:name w:val="heading 2"/>
    <w:basedOn w:val="Normal"/>
    <w:next w:val="Normal"/>
    <w:link w:val="Ttulo2Car"/>
    <w:uiPriority w:val="9"/>
    <w:semiHidden/>
    <w:unhideWhenUsed/>
    <w:qFormat/>
    <w:rsid w:val="00833CE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DF42A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068CD"/>
    <w:pPr>
      <w:tabs>
        <w:tab w:val="center" w:pos="4419"/>
        <w:tab w:val="right" w:pos="8838"/>
      </w:tabs>
      <w:spacing w:after="0" w:line="240" w:lineRule="auto"/>
    </w:pPr>
    <w:rPr>
      <w:kern w:val="0"/>
      <w14:ligatures w14:val="none"/>
    </w:rPr>
  </w:style>
  <w:style w:type="character" w:customStyle="1" w:styleId="EncabezadoCar">
    <w:name w:val="Encabezado Car"/>
    <w:basedOn w:val="Fuentedeprrafopredeter"/>
    <w:link w:val="Encabezado"/>
    <w:uiPriority w:val="99"/>
    <w:rsid w:val="009068CD"/>
  </w:style>
  <w:style w:type="paragraph" w:styleId="Piedepgina">
    <w:name w:val="footer"/>
    <w:basedOn w:val="Normal"/>
    <w:link w:val="PiedepginaCar"/>
    <w:uiPriority w:val="99"/>
    <w:unhideWhenUsed/>
    <w:rsid w:val="009068CD"/>
    <w:pPr>
      <w:tabs>
        <w:tab w:val="center" w:pos="4419"/>
        <w:tab w:val="right" w:pos="8838"/>
      </w:tabs>
      <w:spacing w:after="0" w:line="240" w:lineRule="auto"/>
    </w:pPr>
    <w:rPr>
      <w:kern w:val="0"/>
      <w14:ligatures w14:val="none"/>
    </w:rPr>
  </w:style>
  <w:style w:type="character" w:customStyle="1" w:styleId="PiedepginaCar">
    <w:name w:val="Pie de página Car"/>
    <w:basedOn w:val="Fuentedeprrafopredeter"/>
    <w:link w:val="Piedepgina"/>
    <w:uiPriority w:val="99"/>
    <w:rsid w:val="009068CD"/>
  </w:style>
  <w:style w:type="table" w:styleId="Tablaconcuadrcula">
    <w:name w:val="Table Grid"/>
    <w:basedOn w:val="Tablanormal"/>
    <w:uiPriority w:val="39"/>
    <w:rsid w:val="00906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C574F5"/>
    <w:pPr>
      <w:spacing w:after="200" w:line="240" w:lineRule="auto"/>
      <w:ind w:left="720"/>
      <w:contextualSpacing/>
    </w:pPr>
    <w:rPr>
      <w:rFonts w:ascii="Cambria" w:eastAsia="Times New Roman" w:hAnsi="Cambria" w:cs="Times New Roman"/>
      <w:kern w:val="0"/>
      <w:sz w:val="24"/>
      <w:szCs w:val="24"/>
      <w:lang w:val="es-ES" w:eastAsia="ja-JP"/>
      <w14:ligatures w14:val="none"/>
    </w:rPr>
  </w:style>
  <w:style w:type="character" w:customStyle="1" w:styleId="PrrafodelistaCar">
    <w:name w:val="Párrafo de lista Car"/>
    <w:link w:val="Prrafodelista"/>
    <w:uiPriority w:val="34"/>
    <w:rsid w:val="00C574F5"/>
    <w:rPr>
      <w:rFonts w:ascii="Cambria" w:eastAsia="Times New Roman" w:hAnsi="Cambria" w:cs="Times New Roman"/>
      <w:sz w:val="24"/>
      <w:szCs w:val="24"/>
      <w:lang w:val="es-ES" w:eastAsia="ja-JP"/>
    </w:rPr>
  </w:style>
  <w:style w:type="paragraph" w:styleId="Sinespaciado">
    <w:name w:val="No Spacing"/>
    <w:uiPriority w:val="1"/>
    <w:qFormat/>
    <w:rsid w:val="00C574F5"/>
    <w:pPr>
      <w:spacing w:after="0" w:line="240" w:lineRule="auto"/>
    </w:pPr>
    <w:rPr>
      <w:rFonts w:ascii="Calibri" w:eastAsia="Calibri" w:hAnsi="Calibri" w:cs="Times New Roman"/>
    </w:rPr>
  </w:style>
  <w:style w:type="character" w:styleId="Refdecomentario">
    <w:name w:val="annotation reference"/>
    <w:basedOn w:val="Fuentedeprrafopredeter"/>
    <w:uiPriority w:val="99"/>
    <w:semiHidden/>
    <w:unhideWhenUsed/>
    <w:rsid w:val="0013537B"/>
    <w:rPr>
      <w:sz w:val="16"/>
      <w:szCs w:val="16"/>
    </w:rPr>
  </w:style>
  <w:style w:type="paragraph" w:styleId="Textocomentario">
    <w:name w:val="annotation text"/>
    <w:basedOn w:val="Normal"/>
    <w:link w:val="TextocomentarioCar"/>
    <w:uiPriority w:val="99"/>
    <w:unhideWhenUsed/>
    <w:rsid w:val="0013537B"/>
    <w:pPr>
      <w:spacing w:line="240" w:lineRule="auto"/>
    </w:pPr>
    <w:rPr>
      <w:sz w:val="20"/>
      <w:szCs w:val="20"/>
    </w:rPr>
  </w:style>
  <w:style w:type="character" w:customStyle="1" w:styleId="TextocomentarioCar">
    <w:name w:val="Texto comentario Car"/>
    <w:basedOn w:val="Fuentedeprrafopredeter"/>
    <w:link w:val="Textocomentario"/>
    <w:uiPriority w:val="99"/>
    <w:rsid w:val="0013537B"/>
    <w:rPr>
      <w:kern w:val="2"/>
      <w:sz w:val="20"/>
      <w:szCs w:val="20"/>
      <w14:ligatures w14:val="standardContextual"/>
    </w:rPr>
  </w:style>
  <w:style w:type="paragraph" w:styleId="Asuntodelcomentario">
    <w:name w:val="annotation subject"/>
    <w:basedOn w:val="Textocomentario"/>
    <w:next w:val="Textocomentario"/>
    <w:link w:val="AsuntodelcomentarioCar"/>
    <w:uiPriority w:val="99"/>
    <w:semiHidden/>
    <w:unhideWhenUsed/>
    <w:rsid w:val="0013537B"/>
    <w:rPr>
      <w:b/>
      <w:bCs/>
    </w:rPr>
  </w:style>
  <w:style w:type="character" w:customStyle="1" w:styleId="AsuntodelcomentarioCar">
    <w:name w:val="Asunto del comentario Car"/>
    <w:basedOn w:val="TextocomentarioCar"/>
    <w:link w:val="Asuntodelcomentario"/>
    <w:uiPriority w:val="99"/>
    <w:semiHidden/>
    <w:rsid w:val="0013537B"/>
    <w:rPr>
      <w:b/>
      <w:bCs/>
      <w:kern w:val="2"/>
      <w:sz w:val="20"/>
      <w:szCs w:val="20"/>
      <w14:ligatures w14:val="standardContextual"/>
    </w:rPr>
  </w:style>
  <w:style w:type="paragraph" w:styleId="Revisin">
    <w:name w:val="Revision"/>
    <w:hidden/>
    <w:uiPriority w:val="99"/>
    <w:semiHidden/>
    <w:rsid w:val="0089571A"/>
    <w:pPr>
      <w:spacing w:after="0" w:line="240" w:lineRule="auto"/>
    </w:pPr>
    <w:rPr>
      <w:kern w:val="2"/>
      <w14:ligatures w14:val="standardContextual"/>
    </w:rPr>
  </w:style>
  <w:style w:type="paragraph" w:styleId="NormalWeb">
    <w:name w:val="Normal (Web)"/>
    <w:basedOn w:val="Normal"/>
    <w:uiPriority w:val="99"/>
    <w:semiHidden/>
    <w:unhideWhenUsed/>
    <w:rsid w:val="0001460A"/>
    <w:rPr>
      <w:rFonts w:ascii="Times New Roman" w:hAnsi="Times New Roman" w:cs="Times New Roman"/>
      <w:sz w:val="24"/>
      <w:szCs w:val="24"/>
    </w:rPr>
  </w:style>
  <w:style w:type="character" w:styleId="Hipervnculo">
    <w:name w:val="Hyperlink"/>
    <w:basedOn w:val="Fuentedeprrafopredeter"/>
    <w:uiPriority w:val="99"/>
    <w:unhideWhenUsed/>
    <w:rsid w:val="0001460A"/>
    <w:rPr>
      <w:color w:val="0563C1" w:themeColor="hyperlink"/>
      <w:u w:val="single"/>
    </w:rPr>
  </w:style>
  <w:style w:type="character" w:styleId="Mencinsinresolver">
    <w:name w:val="Unresolved Mention"/>
    <w:basedOn w:val="Fuentedeprrafopredeter"/>
    <w:uiPriority w:val="99"/>
    <w:semiHidden/>
    <w:unhideWhenUsed/>
    <w:rsid w:val="0001460A"/>
    <w:rPr>
      <w:color w:val="605E5C"/>
      <w:shd w:val="clear" w:color="auto" w:fill="E1DFDD"/>
    </w:rPr>
  </w:style>
  <w:style w:type="character" w:customStyle="1" w:styleId="Ttulo3Car">
    <w:name w:val="Título 3 Car"/>
    <w:basedOn w:val="Fuentedeprrafopredeter"/>
    <w:link w:val="Ttulo3"/>
    <w:uiPriority w:val="9"/>
    <w:semiHidden/>
    <w:rsid w:val="00DF42A0"/>
    <w:rPr>
      <w:rFonts w:asciiTheme="majorHAnsi" w:eastAsiaTheme="majorEastAsia" w:hAnsiTheme="majorHAnsi" w:cstheme="majorBidi"/>
      <w:color w:val="1F4D78" w:themeColor="accent1" w:themeShade="7F"/>
      <w:kern w:val="2"/>
      <w:sz w:val="24"/>
      <w:szCs w:val="24"/>
      <w14:ligatures w14:val="standardContextual"/>
    </w:rPr>
  </w:style>
  <w:style w:type="character" w:customStyle="1" w:styleId="Ttulo2Car">
    <w:name w:val="Título 2 Car"/>
    <w:basedOn w:val="Fuentedeprrafopredeter"/>
    <w:link w:val="Ttulo2"/>
    <w:uiPriority w:val="9"/>
    <w:semiHidden/>
    <w:rsid w:val="00833CE4"/>
    <w:rPr>
      <w:rFonts w:asciiTheme="majorHAnsi" w:eastAsiaTheme="majorEastAsia" w:hAnsiTheme="majorHAnsi" w:cstheme="majorBidi"/>
      <w:color w:val="2E74B5" w:themeColor="accent1" w:themeShade="BF"/>
      <w:kern w:val="2"/>
      <w:sz w:val="26"/>
      <w:szCs w:val="26"/>
      <w14:ligatures w14:val="standardContextual"/>
    </w:rPr>
  </w:style>
  <w:style w:type="character" w:styleId="Mencionar">
    <w:name w:val="Mention"/>
    <w:basedOn w:val="Fuentedeprrafopredeter"/>
    <w:uiPriority w:val="99"/>
    <w:unhideWhenUsed/>
    <w:rsid w:val="00C770FC"/>
    <w:rPr>
      <w:color w:val="2B579A"/>
      <w:shd w:val="clear" w:color="auto" w:fill="E1DFDD"/>
    </w:rPr>
  </w:style>
  <w:style w:type="paragraph" w:styleId="Textodeglobo">
    <w:name w:val="Balloon Text"/>
    <w:basedOn w:val="Normal"/>
    <w:link w:val="TextodegloboCar"/>
    <w:uiPriority w:val="99"/>
    <w:semiHidden/>
    <w:unhideWhenUsed/>
    <w:rsid w:val="00ED065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D065D"/>
    <w:rPr>
      <w:rFonts w:ascii="Segoe UI" w:hAnsi="Segoe UI" w:cs="Segoe UI"/>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148853">
      <w:bodyDiv w:val="1"/>
      <w:marLeft w:val="0"/>
      <w:marRight w:val="0"/>
      <w:marTop w:val="0"/>
      <w:marBottom w:val="0"/>
      <w:divBdr>
        <w:top w:val="none" w:sz="0" w:space="0" w:color="auto"/>
        <w:left w:val="none" w:sz="0" w:space="0" w:color="auto"/>
        <w:bottom w:val="none" w:sz="0" w:space="0" w:color="auto"/>
        <w:right w:val="none" w:sz="0" w:space="0" w:color="auto"/>
      </w:divBdr>
    </w:div>
    <w:div w:id="890968301">
      <w:bodyDiv w:val="1"/>
      <w:marLeft w:val="0"/>
      <w:marRight w:val="0"/>
      <w:marTop w:val="0"/>
      <w:marBottom w:val="0"/>
      <w:divBdr>
        <w:top w:val="none" w:sz="0" w:space="0" w:color="auto"/>
        <w:left w:val="none" w:sz="0" w:space="0" w:color="auto"/>
        <w:bottom w:val="none" w:sz="0" w:space="0" w:color="auto"/>
        <w:right w:val="none" w:sz="0" w:space="0" w:color="auto"/>
      </w:divBdr>
    </w:div>
    <w:div w:id="1140002874">
      <w:bodyDiv w:val="1"/>
      <w:marLeft w:val="0"/>
      <w:marRight w:val="0"/>
      <w:marTop w:val="0"/>
      <w:marBottom w:val="0"/>
      <w:divBdr>
        <w:top w:val="none" w:sz="0" w:space="0" w:color="auto"/>
        <w:left w:val="none" w:sz="0" w:space="0" w:color="auto"/>
        <w:bottom w:val="none" w:sz="0" w:space="0" w:color="auto"/>
        <w:right w:val="none" w:sz="0" w:space="0" w:color="auto"/>
      </w:divBdr>
    </w:div>
    <w:div w:id="1598977709">
      <w:bodyDiv w:val="1"/>
      <w:marLeft w:val="0"/>
      <w:marRight w:val="0"/>
      <w:marTop w:val="0"/>
      <w:marBottom w:val="0"/>
      <w:divBdr>
        <w:top w:val="none" w:sz="0" w:space="0" w:color="auto"/>
        <w:left w:val="none" w:sz="0" w:space="0" w:color="auto"/>
        <w:bottom w:val="none" w:sz="0" w:space="0" w:color="auto"/>
        <w:right w:val="none" w:sz="0" w:space="0" w:color="auto"/>
      </w:divBdr>
    </w:div>
    <w:div w:id="164785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13DE7E0D0206447AE97E2A6C7A9B3D7" ma:contentTypeVersion="19" ma:contentTypeDescription="Crear nuevo documento." ma:contentTypeScope="" ma:versionID="a5dbe2bbe25d94838e8ab6234111374f">
  <xsd:schema xmlns:xsd="http://www.w3.org/2001/XMLSchema" xmlns:xs="http://www.w3.org/2001/XMLSchema" xmlns:p="http://schemas.microsoft.com/office/2006/metadata/properties" xmlns:ns2="136fdea3-2e69-4c60-8130-6a6319a71c3c" xmlns:ns3="1a05cbd2-3996-442c-b34a-5028faf53e55" targetNamespace="http://schemas.microsoft.com/office/2006/metadata/properties" ma:root="true" ma:fieldsID="dd46c73243dadcca21b71aaef5800722" ns2:_="" ns3:_="">
    <xsd:import namespace="136fdea3-2e69-4c60-8130-6a6319a71c3c"/>
    <xsd:import namespace="1a05cbd2-3996-442c-b34a-5028faf53e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6fdea3-2e69-4c60-8130-6a6319a71c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202ef2ac-9fa5-4cf2-ab23-7792f470ab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05cbd2-3996-442c-b34a-5028faf53e55"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42545850-0c82-41f8-98cc-6c9121af0f3b}" ma:internalName="TaxCatchAll" ma:showField="CatchAllData" ma:web="1a05cbd2-3996-442c-b34a-5028faf53e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36fdea3-2e69-4c60-8130-6a6319a71c3c">
      <Terms xmlns="http://schemas.microsoft.com/office/infopath/2007/PartnerControls"/>
    </lcf76f155ced4ddcb4097134ff3c332f>
    <TaxCatchAll xmlns="1a05cbd2-3996-442c-b34a-5028faf53e55" xsi:nil="true"/>
  </documentManagement>
</p:properties>
</file>

<file path=customXml/itemProps1.xml><?xml version="1.0" encoding="utf-8"?>
<ds:datastoreItem xmlns:ds="http://schemas.openxmlformats.org/officeDocument/2006/customXml" ds:itemID="{619B3AFC-828C-49D4-8F29-27ACECED44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6fdea3-2e69-4c60-8130-6a6319a71c3c"/>
    <ds:schemaRef ds:uri="1a05cbd2-3996-442c-b34a-5028faf53e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AE0567-5B7B-4554-9D3B-828BFA991A12}">
  <ds:schemaRefs>
    <ds:schemaRef ds:uri="http://schemas.openxmlformats.org/officeDocument/2006/bibliography"/>
  </ds:schemaRefs>
</ds:datastoreItem>
</file>

<file path=customXml/itemProps3.xml><?xml version="1.0" encoding="utf-8"?>
<ds:datastoreItem xmlns:ds="http://schemas.openxmlformats.org/officeDocument/2006/customXml" ds:itemID="{A81F2EA6-3EA5-4703-AD22-C8461DD2D7DF}">
  <ds:schemaRefs>
    <ds:schemaRef ds:uri="http://schemas.microsoft.com/sharepoint/v3/contenttype/forms"/>
  </ds:schemaRefs>
</ds:datastoreItem>
</file>

<file path=customXml/itemProps4.xml><?xml version="1.0" encoding="utf-8"?>
<ds:datastoreItem xmlns:ds="http://schemas.openxmlformats.org/officeDocument/2006/customXml" ds:itemID="{6821E007-392D-4E8C-B486-52F97380947E}">
  <ds:schemaRefs>
    <ds:schemaRef ds:uri="http://schemas.microsoft.com/office/2006/metadata/properties"/>
    <ds:schemaRef ds:uri="http://schemas.microsoft.com/office/infopath/2007/PartnerControls"/>
    <ds:schemaRef ds:uri="136fdea3-2e69-4c60-8130-6a6319a71c3c"/>
    <ds:schemaRef ds:uri="1a05cbd2-3996-442c-b34a-5028faf53e5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3525</Words>
  <Characters>19389</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Ambiente</dc:creator>
  <cp:keywords/>
  <dc:description/>
  <cp:lastModifiedBy>Julian Felipe Cristiano Mendivelso</cp:lastModifiedBy>
  <cp:revision>2</cp:revision>
  <cp:lastPrinted>2025-02-14T20:15:00Z</cp:lastPrinted>
  <dcterms:created xsi:type="dcterms:W3CDTF">2026-07-14T21:33:00Z</dcterms:created>
  <dcterms:modified xsi:type="dcterms:W3CDTF">2026-07-14T21:33:00Z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0x010100213DE7E0D0206447AE97E2A6C7A9B3D7</vt:lpwstr>
  </property>
  <property fmtid="{D5CDD505-2E9C-101B-9397-08002B2CF9AE}" pid="3" name="MediaServiceImageTags">
    <vt:lpwstr/>
  </property>
</Properties>
</file>