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4" w:type="dxa"/>
        <w:tblInd w:w="-922" w:type="dxa"/>
        <w:tblBorders>
          <w:top w:val="single" w:sz="4" w:space="0" w:color="auto"/>
          <w:left w:val="single" w:sz="4" w:space="0" w:color="auto"/>
          <w:bottom w:val="single" w:sz="4" w:space="0" w:color="auto"/>
          <w:right w:val="single" w:sz="4" w:space="0" w:color="auto"/>
        </w:tblBorders>
        <w:shd w:val="clear" w:color="auto" w:fill="FFFFFF"/>
        <w:tblLayout w:type="fixed"/>
        <w:tblCellMar>
          <w:top w:w="57" w:type="dxa"/>
          <w:left w:w="85" w:type="dxa"/>
          <w:bottom w:w="57" w:type="dxa"/>
          <w:right w:w="85" w:type="dxa"/>
        </w:tblCellMar>
        <w:tblLook w:val="0000" w:firstRow="0" w:lastRow="0" w:firstColumn="0" w:lastColumn="0" w:noHBand="0" w:noVBand="0"/>
      </w:tblPr>
      <w:tblGrid>
        <w:gridCol w:w="3434"/>
        <w:gridCol w:w="4221"/>
        <w:gridCol w:w="3119"/>
      </w:tblGrid>
      <w:tr w:rsidR="005C4522" w:rsidRPr="00EA3808" w14:paraId="39EBA5EB" w14:textId="77777777" w:rsidTr="086CF79C">
        <w:trPr>
          <w:trHeight w:val="97"/>
        </w:trPr>
        <w:tc>
          <w:tcPr>
            <w:tcW w:w="3434" w:type="dxa"/>
            <w:tcBorders>
              <w:top w:val="single" w:sz="4" w:space="0" w:color="auto"/>
              <w:bottom w:val="single" w:sz="4" w:space="0" w:color="auto"/>
              <w:right w:val="single" w:sz="4" w:space="0" w:color="auto"/>
            </w:tcBorders>
            <w:shd w:val="clear" w:color="auto" w:fill="154A8A"/>
            <w:vAlign w:val="center"/>
          </w:tcPr>
          <w:p w14:paraId="39820C7B" w14:textId="77777777" w:rsidR="0026513E" w:rsidRPr="00EA3808" w:rsidRDefault="00795C6B" w:rsidP="002264B8">
            <w:pPr>
              <w:pStyle w:val="Ttulo2"/>
              <w:ind w:right="72"/>
              <w:jc w:val="left"/>
              <w:rPr>
                <w:rFonts w:ascii="Verdana" w:hAnsi="Verdana" w:cs="Arial"/>
                <w:bCs/>
                <w:color w:val="FFFFFF"/>
                <w:sz w:val="22"/>
                <w:szCs w:val="22"/>
              </w:rPr>
            </w:pPr>
            <w:r w:rsidRPr="00EA3808">
              <w:rPr>
                <w:rFonts w:ascii="Verdana" w:hAnsi="Verdana" w:cs="Arial"/>
                <w:color w:val="FFFFFF"/>
                <w:sz w:val="22"/>
                <w:szCs w:val="22"/>
                <w:lang w:val="es-CO"/>
              </w:rPr>
              <w:t>Entidad</w:t>
            </w:r>
            <w:r w:rsidR="00086B16" w:rsidRPr="00EA3808">
              <w:rPr>
                <w:rFonts w:ascii="Verdana" w:hAnsi="Verdana" w:cs="Arial"/>
                <w:color w:val="FFFFFF"/>
                <w:sz w:val="22"/>
                <w:szCs w:val="22"/>
                <w:lang w:val="es-CO"/>
              </w:rPr>
              <w:t xml:space="preserve"> </w:t>
            </w:r>
            <w:r w:rsidRPr="00EA3808">
              <w:rPr>
                <w:rFonts w:ascii="Verdana" w:hAnsi="Verdana" w:cs="Arial"/>
                <w:color w:val="FFFFFF"/>
                <w:sz w:val="22"/>
                <w:szCs w:val="22"/>
                <w:lang w:val="es-CO"/>
              </w:rPr>
              <w:t>originadora</w:t>
            </w:r>
            <w:r w:rsidR="00293F29" w:rsidRPr="00EA3808">
              <w:rPr>
                <w:rFonts w:ascii="Verdana" w:hAnsi="Verdana" w:cs="Arial"/>
                <w:color w:val="FFFFFF"/>
                <w:sz w:val="22"/>
                <w:szCs w:val="22"/>
                <w:lang w:val="es-CO"/>
              </w:rPr>
              <w:t>:</w:t>
            </w:r>
          </w:p>
        </w:tc>
        <w:tc>
          <w:tcPr>
            <w:tcW w:w="7340" w:type="dxa"/>
            <w:gridSpan w:val="2"/>
            <w:tcBorders>
              <w:top w:val="single" w:sz="4" w:space="0" w:color="auto"/>
              <w:left w:val="single" w:sz="4" w:space="0" w:color="auto"/>
              <w:bottom w:val="single" w:sz="4" w:space="0" w:color="auto"/>
            </w:tcBorders>
            <w:shd w:val="clear" w:color="auto" w:fill="FFFFFF" w:themeFill="background1"/>
            <w:vAlign w:val="center"/>
          </w:tcPr>
          <w:p w14:paraId="4D25B05C" w14:textId="3E8D1291" w:rsidR="0026513E" w:rsidRPr="00EA3808" w:rsidRDefault="1E4E0723" w:rsidP="4095ADAA">
            <w:pPr>
              <w:pStyle w:val="Ttulo2"/>
              <w:spacing w:line="259" w:lineRule="auto"/>
              <w:ind w:left="72" w:right="72"/>
              <w:jc w:val="left"/>
              <w:rPr>
                <w:rFonts w:ascii="Verdana" w:hAnsi="Verdana"/>
              </w:rPr>
            </w:pPr>
            <w:r w:rsidRPr="00EA3808">
              <w:rPr>
                <w:rFonts w:ascii="Verdana" w:hAnsi="Verdana" w:cs="Arial"/>
                <w:b w:val="0"/>
                <w:i/>
                <w:iCs/>
                <w:color w:val="808080" w:themeColor="background1" w:themeShade="80"/>
                <w:sz w:val="22"/>
                <w:szCs w:val="22"/>
              </w:rPr>
              <w:t>MNINISTERIO DE AMBIENTE Y DESARROLLO SOSTENIBLE</w:t>
            </w:r>
          </w:p>
        </w:tc>
      </w:tr>
      <w:tr w:rsidR="005C4522" w:rsidRPr="00EA3808" w14:paraId="3C467666" w14:textId="77777777" w:rsidTr="086CF79C">
        <w:trPr>
          <w:trHeight w:val="97"/>
        </w:trPr>
        <w:tc>
          <w:tcPr>
            <w:tcW w:w="3434" w:type="dxa"/>
            <w:tcBorders>
              <w:top w:val="single" w:sz="4" w:space="0" w:color="auto"/>
              <w:bottom w:val="single" w:sz="4" w:space="0" w:color="auto"/>
              <w:right w:val="single" w:sz="4" w:space="0" w:color="auto"/>
            </w:tcBorders>
            <w:shd w:val="clear" w:color="auto" w:fill="154A8A"/>
            <w:vAlign w:val="center"/>
          </w:tcPr>
          <w:p w14:paraId="204902D0" w14:textId="77777777" w:rsidR="00C47F73" w:rsidRPr="00EA3808" w:rsidRDefault="0026513E" w:rsidP="002264B8">
            <w:pPr>
              <w:pStyle w:val="Ttulo2"/>
              <w:ind w:right="72"/>
              <w:jc w:val="left"/>
              <w:rPr>
                <w:rFonts w:ascii="Verdana" w:hAnsi="Verdana" w:cs="Arial"/>
                <w:bCs/>
                <w:color w:val="FFFFFF"/>
                <w:sz w:val="22"/>
                <w:szCs w:val="22"/>
              </w:rPr>
            </w:pPr>
            <w:r w:rsidRPr="00EA3808">
              <w:rPr>
                <w:rFonts w:ascii="Verdana" w:hAnsi="Verdana" w:cs="Arial"/>
                <w:bCs/>
                <w:color w:val="FFFFFF"/>
                <w:sz w:val="22"/>
                <w:szCs w:val="22"/>
              </w:rPr>
              <w:t>Fecha</w:t>
            </w:r>
            <w:r w:rsidR="00BB545F" w:rsidRPr="00EA3808">
              <w:rPr>
                <w:rFonts w:ascii="Verdana" w:hAnsi="Verdana" w:cs="Arial"/>
                <w:bCs/>
                <w:color w:val="FFFFFF"/>
                <w:sz w:val="22"/>
                <w:szCs w:val="22"/>
              </w:rPr>
              <w:t xml:space="preserve"> (</w:t>
            </w:r>
            <w:proofErr w:type="spellStart"/>
            <w:r w:rsidR="00BB545F" w:rsidRPr="00EA3808">
              <w:rPr>
                <w:rFonts w:ascii="Verdana" w:hAnsi="Verdana" w:cs="Arial"/>
                <w:bCs/>
                <w:color w:val="FFFFFF"/>
                <w:sz w:val="22"/>
                <w:szCs w:val="22"/>
              </w:rPr>
              <w:t>dd</w:t>
            </w:r>
            <w:proofErr w:type="spellEnd"/>
            <w:r w:rsidR="00BB545F" w:rsidRPr="00EA3808">
              <w:rPr>
                <w:rFonts w:ascii="Verdana" w:hAnsi="Verdana" w:cs="Arial"/>
                <w:bCs/>
                <w:color w:val="FFFFFF"/>
                <w:sz w:val="22"/>
                <w:szCs w:val="22"/>
              </w:rPr>
              <w:t>/mm/</w:t>
            </w:r>
            <w:proofErr w:type="spellStart"/>
            <w:r w:rsidR="00BB545F" w:rsidRPr="00EA3808">
              <w:rPr>
                <w:rFonts w:ascii="Verdana" w:hAnsi="Verdana" w:cs="Arial"/>
                <w:bCs/>
                <w:color w:val="FFFFFF"/>
                <w:sz w:val="22"/>
                <w:szCs w:val="22"/>
              </w:rPr>
              <w:t>aa</w:t>
            </w:r>
            <w:proofErr w:type="spellEnd"/>
            <w:r w:rsidR="00BB545F" w:rsidRPr="00EA3808">
              <w:rPr>
                <w:rFonts w:ascii="Verdana" w:hAnsi="Verdana" w:cs="Arial"/>
                <w:bCs/>
                <w:color w:val="FFFFFF"/>
                <w:sz w:val="22"/>
                <w:szCs w:val="22"/>
              </w:rPr>
              <w:t>)</w:t>
            </w:r>
            <w:r w:rsidR="00293F29" w:rsidRPr="00EA3808">
              <w:rPr>
                <w:rFonts w:ascii="Verdana" w:hAnsi="Verdana" w:cs="Arial"/>
                <w:bCs/>
                <w:color w:val="FFFFFF"/>
                <w:sz w:val="22"/>
                <w:szCs w:val="22"/>
              </w:rPr>
              <w:t>:</w:t>
            </w:r>
          </w:p>
        </w:tc>
        <w:tc>
          <w:tcPr>
            <w:tcW w:w="7340" w:type="dxa"/>
            <w:gridSpan w:val="2"/>
            <w:tcBorders>
              <w:top w:val="single" w:sz="4" w:space="0" w:color="auto"/>
              <w:left w:val="single" w:sz="4" w:space="0" w:color="auto"/>
              <w:bottom w:val="single" w:sz="4" w:space="0" w:color="auto"/>
            </w:tcBorders>
            <w:shd w:val="clear" w:color="auto" w:fill="FFFFFF" w:themeFill="background1"/>
            <w:vAlign w:val="center"/>
          </w:tcPr>
          <w:p w14:paraId="2BFDA242" w14:textId="67A0FD2C" w:rsidR="00C47F73" w:rsidRPr="00EA3808" w:rsidRDefault="611E4492" w:rsidP="4095ADAA">
            <w:pPr>
              <w:pStyle w:val="Ttulo2"/>
              <w:spacing w:line="259" w:lineRule="auto"/>
              <w:ind w:left="72" w:right="72"/>
              <w:jc w:val="left"/>
              <w:rPr>
                <w:rFonts w:ascii="Verdana" w:hAnsi="Verdana"/>
              </w:rPr>
            </w:pPr>
            <w:r w:rsidRPr="00EA3808">
              <w:rPr>
                <w:rFonts w:ascii="Verdana" w:hAnsi="Verdana" w:cs="Arial"/>
                <w:b w:val="0"/>
                <w:i/>
                <w:iCs/>
                <w:color w:val="808080" w:themeColor="background1" w:themeShade="80"/>
                <w:sz w:val="22"/>
                <w:szCs w:val="22"/>
              </w:rPr>
              <w:t>Julio 2026</w:t>
            </w:r>
          </w:p>
        </w:tc>
      </w:tr>
      <w:tr w:rsidR="005C4522" w:rsidRPr="00EA3808" w14:paraId="5878C052" w14:textId="77777777" w:rsidTr="086CF79C">
        <w:trPr>
          <w:trHeight w:val="97"/>
        </w:trPr>
        <w:tc>
          <w:tcPr>
            <w:tcW w:w="3434" w:type="dxa"/>
            <w:tcBorders>
              <w:top w:val="single" w:sz="4" w:space="0" w:color="auto"/>
              <w:bottom w:val="single" w:sz="4" w:space="0" w:color="auto"/>
              <w:right w:val="single" w:sz="4" w:space="0" w:color="auto"/>
            </w:tcBorders>
            <w:shd w:val="clear" w:color="auto" w:fill="154A8A"/>
            <w:vAlign w:val="center"/>
          </w:tcPr>
          <w:p w14:paraId="7638F846" w14:textId="77777777" w:rsidR="0059316B" w:rsidRPr="00EA3808" w:rsidRDefault="00A55DB6" w:rsidP="002264B8">
            <w:pPr>
              <w:pStyle w:val="Ttulo2"/>
              <w:ind w:right="72"/>
              <w:jc w:val="left"/>
              <w:rPr>
                <w:rFonts w:ascii="Verdana" w:hAnsi="Verdana" w:cs="Arial"/>
                <w:bCs/>
                <w:color w:val="FFFFFF"/>
                <w:sz w:val="22"/>
                <w:szCs w:val="22"/>
              </w:rPr>
            </w:pPr>
            <w:r w:rsidRPr="00EA3808">
              <w:rPr>
                <w:rFonts w:ascii="Verdana" w:hAnsi="Verdana" w:cs="Arial"/>
                <w:bCs/>
                <w:color w:val="FFFFFF"/>
                <w:sz w:val="22"/>
                <w:szCs w:val="22"/>
              </w:rPr>
              <w:t xml:space="preserve">Proyecto de </w:t>
            </w:r>
            <w:r w:rsidR="00587695" w:rsidRPr="00EA3808">
              <w:rPr>
                <w:rFonts w:ascii="Verdana" w:hAnsi="Verdana" w:cs="Arial"/>
                <w:bCs/>
                <w:color w:val="FFFFFF"/>
                <w:sz w:val="22"/>
                <w:szCs w:val="22"/>
              </w:rPr>
              <w:t>D</w:t>
            </w:r>
            <w:r w:rsidRPr="00EA3808">
              <w:rPr>
                <w:rFonts w:ascii="Verdana" w:hAnsi="Verdana" w:cs="Arial"/>
                <w:bCs/>
                <w:color w:val="FFFFFF"/>
                <w:sz w:val="22"/>
                <w:szCs w:val="22"/>
              </w:rPr>
              <w:t>ecreto</w:t>
            </w:r>
            <w:r w:rsidR="00795C6B" w:rsidRPr="00EA3808">
              <w:rPr>
                <w:rFonts w:ascii="Verdana" w:hAnsi="Verdana" w:cs="Arial"/>
                <w:bCs/>
                <w:color w:val="FFFFFF"/>
                <w:sz w:val="22"/>
                <w:szCs w:val="22"/>
              </w:rPr>
              <w:t>/Resolución</w:t>
            </w:r>
            <w:r w:rsidR="00293F29" w:rsidRPr="00EA3808">
              <w:rPr>
                <w:rFonts w:ascii="Verdana" w:hAnsi="Verdana" w:cs="Arial"/>
                <w:bCs/>
                <w:color w:val="FFFFFF"/>
                <w:sz w:val="22"/>
                <w:szCs w:val="22"/>
              </w:rPr>
              <w:t>:</w:t>
            </w:r>
          </w:p>
        </w:tc>
        <w:tc>
          <w:tcPr>
            <w:tcW w:w="7340" w:type="dxa"/>
            <w:gridSpan w:val="2"/>
            <w:tcBorders>
              <w:top w:val="single" w:sz="4" w:space="0" w:color="auto"/>
              <w:left w:val="single" w:sz="4" w:space="0" w:color="auto"/>
              <w:bottom w:val="single" w:sz="4" w:space="0" w:color="auto"/>
            </w:tcBorders>
            <w:shd w:val="clear" w:color="auto" w:fill="FFFFFF" w:themeFill="background1"/>
            <w:vAlign w:val="center"/>
          </w:tcPr>
          <w:p w14:paraId="029991BD" w14:textId="43225C0F" w:rsidR="001F238A" w:rsidRPr="00EA3808" w:rsidRDefault="769F5AEF" w:rsidP="4095ADAA">
            <w:pPr>
              <w:rPr>
                <w:rFonts w:ascii="Verdana" w:hAnsi="Verdana" w:cs="Arial"/>
                <w:color w:val="000000" w:themeColor="text1"/>
              </w:rPr>
            </w:pPr>
            <w:r w:rsidRPr="00EA3808">
              <w:rPr>
                <w:rFonts w:ascii="Verdana" w:hAnsi="Verdana" w:cs="Arial"/>
                <w:color w:val="000000" w:themeColor="text1"/>
                <w:sz w:val="22"/>
                <w:szCs w:val="22"/>
                <w:lang w:eastAsia="es-CO"/>
              </w:rPr>
              <w:t>Adoptar la delimitación progresiva del ecosistema de páramo de las complejo Jurisdicciones - Santurbán - Berlín respecto de aquellos municipios en los cuales se haya avanzado hasta la fase de concertación de los seis (6) temas ineludibles conforme a lo dispuesto en la Sentencia T-361 de 2017.</w:t>
            </w:r>
          </w:p>
        </w:tc>
      </w:tr>
      <w:tr w:rsidR="00DF60FD" w:rsidRPr="00EA3808" w14:paraId="2F7D5AA7" w14:textId="77777777" w:rsidTr="00703B55">
        <w:trPr>
          <w:trHeight w:val="4708"/>
        </w:trPr>
        <w:tc>
          <w:tcPr>
            <w:tcW w:w="1077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7700A1" w14:textId="77777777" w:rsidR="0095690D" w:rsidRPr="00EA3808" w:rsidRDefault="0095690D" w:rsidP="005B25BE">
            <w:pPr>
              <w:numPr>
                <w:ilvl w:val="0"/>
                <w:numId w:val="2"/>
              </w:numPr>
              <w:rPr>
                <w:rFonts w:ascii="Verdana" w:hAnsi="Verdana" w:cs="Arial"/>
                <w:b/>
                <w:color w:val="000000"/>
                <w:sz w:val="22"/>
                <w:szCs w:val="22"/>
                <w:lang w:val="es-CO"/>
              </w:rPr>
            </w:pPr>
            <w:r w:rsidRPr="00EA3808">
              <w:rPr>
                <w:rFonts w:ascii="Verdana" w:hAnsi="Verdana" w:cs="Arial"/>
                <w:b/>
                <w:color w:val="000000"/>
                <w:sz w:val="22"/>
                <w:szCs w:val="22"/>
                <w:lang w:val="es-CO"/>
              </w:rPr>
              <w:t>ANTECEDENTES Y RAZONES DE OPORTUNIDAD Y CONVENIENCIA QUE JUSTIFICAN SU EXPEDICIÓN.</w:t>
            </w:r>
          </w:p>
          <w:p w14:paraId="0F5FEE1E" w14:textId="77777777" w:rsidR="002E4A97" w:rsidRPr="00EA3808" w:rsidRDefault="00795C6B" w:rsidP="001A1E25">
            <w:pPr>
              <w:pStyle w:val="Listavistosa-nfasis11"/>
              <w:spacing w:line="240" w:lineRule="auto"/>
              <w:ind w:left="494"/>
              <w:jc w:val="both"/>
              <w:rPr>
                <w:rFonts w:ascii="Verdana" w:hAnsi="Verdana" w:cs="Arial"/>
                <w:i/>
                <w:color w:val="808080"/>
                <w:sz w:val="18"/>
              </w:rPr>
            </w:pPr>
            <w:r w:rsidRPr="00EA3808">
              <w:rPr>
                <w:rFonts w:ascii="Verdana" w:hAnsi="Verdana" w:cs="Arial"/>
                <w:i/>
                <w:color w:val="808080"/>
                <w:sz w:val="18"/>
              </w:rPr>
              <w:t xml:space="preserve">(Por favor explique de manera amplia y detallada: la necesidad de regulación, alcance, fin que se pretende y sus implicaciones con otras disposiciones, por favor no transcriba con considerandos) </w:t>
            </w:r>
          </w:p>
          <w:p w14:paraId="21FC7282" w14:textId="77777777" w:rsidR="002D138E" w:rsidRPr="00EA3808" w:rsidRDefault="002D138E" w:rsidP="00C23E64">
            <w:pPr>
              <w:pStyle w:val="Listavistosa-nfasis11"/>
              <w:spacing w:line="240" w:lineRule="auto"/>
              <w:ind w:left="0"/>
              <w:jc w:val="both"/>
              <w:rPr>
                <w:rFonts w:ascii="Verdana" w:hAnsi="Verdana" w:cs="Arial"/>
                <w:iCs/>
                <w:color w:val="000000"/>
              </w:rPr>
            </w:pPr>
          </w:p>
          <w:p w14:paraId="322B3BBB" w14:textId="1D5F932E" w:rsidR="447A1B89" w:rsidRPr="00EA3808" w:rsidRDefault="447A1B89" w:rsidP="00EA3808">
            <w:pPr>
              <w:spacing w:line="300" w:lineRule="auto"/>
              <w:jc w:val="both"/>
              <w:rPr>
                <w:rFonts w:ascii="Verdana" w:eastAsia="Verdana" w:hAnsi="Verdana" w:cs="Verdana"/>
                <w:sz w:val="21"/>
                <w:szCs w:val="21"/>
                <w:lang w:val="es-CO"/>
              </w:rPr>
            </w:pPr>
            <w:r w:rsidRPr="00EA3808">
              <w:rPr>
                <w:rFonts w:ascii="Verdana" w:eastAsia="Verdana" w:hAnsi="Verdana" w:cs="Verdana"/>
                <w:sz w:val="21"/>
                <w:szCs w:val="21"/>
                <w:lang w:val="es-CO"/>
              </w:rPr>
              <w:t>La presente resolución tiene origen en el proceso de delimitación del Complejo de Páramos Jurisdicciones–Santurbán–Berlín, adelantado por el Ministerio de Ambiente y Desarrollo Sostenible en cumplimiento de las disposiciones constitucionales y legales orientadas a la protección de los ecosistemas estratégicos, así como de las órdenes impartidas por la Corte Constitucional mediante la Sentencia T-361 de 2017. Dicha providencia dejó sin efectos la Resolución 2090 de 2014 y ordenó adelantar un nuevo procedimiento de delimitación bajo criterios técnicos, científicos, ambientales y sociales, garantizando un proceso previo, amplio, participativo, eficaz y deliberativo con incidencia real de las comunidades en la construcción de la decisión administrativa.</w:t>
            </w:r>
          </w:p>
          <w:p w14:paraId="48E38883" w14:textId="74C006A3" w:rsidR="4095ADAA" w:rsidRPr="00EA3808" w:rsidRDefault="4095ADAA" w:rsidP="4095ADAA">
            <w:pPr>
              <w:pStyle w:val="Listavistosa-nfasis11"/>
              <w:ind w:left="0"/>
              <w:jc w:val="both"/>
              <w:rPr>
                <w:rFonts w:ascii="Verdana" w:hAnsi="Verdana" w:cs="Arial"/>
                <w:color w:val="000000" w:themeColor="text1"/>
              </w:rPr>
            </w:pPr>
          </w:p>
          <w:p w14:paraId="7072BDA1" w14:textId="3129888F" w:rsidR="447A1B89" w:rsidRPr="00EA3808" w:rsidRDefault="0F905003" w:rsidP="00EA3808">
            <w:pPr>
              <w:spacing w:line="300" w:lineRule="auto"/>
              <w:jc w:val="both"/>
              <w:rPr>
                <w:rFonts w:ascii="Verdana" w:eastAsia="Verdana" w:hAnsi="Verdana" w:cs="Verdana"/>
                <w:sz w:val="21"/>
                <w:szCs w:val="21"/>
                <w:lang w:val="es-CO"/>
              </w:rPr>
            </w:pPr>
            <w:r w:rsidRPr="00EA3808">
              <w:rPr>
                <w:rFonts w:ascii="Verdana" w:eastAsia="Verdana" w:hAnsi="Verdana" w:cs="Verdana"/>
                <w:sz w:val="21"/>
                <w:szCs w:val="21"/>
                <w:lang w:val="es-CO"/>
              </w:rPr>
              <w:t xml:space="preserve">En desarrollo de lo anterior, el Ministerio de Ambiente y Desarrollo Sostenible, con el apoyo del Instituto de Investigación de Recursos Biológicos Alexander </w:t>
            </w:r>
            <w:proofErr w:type="spellStart"/>
            <w:r w:rsidRPr="00EA3808">
              <w:rPr>
                <w:rFonts w:ascii="Verdana" w:eastAsia="Verdana" w:hAnsi="Verdana" w:cs="Verdana"/>
                <w:sz w:val="21"/>
                <w:szCs w:val="21"/>
                <w:lang w:val="es-CO"/>
              </w:rPr>
              <w:t>von</w:t>
            </w:r>
            <w:proofErr w:type="spellEnd"/>
            <w:r w:rsidRPr="00EA3808">
              <w:rPr>
                <w:rFonts w:ascii="Verdana" w:eastAsia="Verdana" w:hAnsi="Verdana" w:cs="Verdana"/>
                <w:sz w:val="21"/>
                <w:szCs w:val="21"/>
                <w:lang w:val="es-CO"/>
              </w:rPr>
              <w:t xml:space="preserve"> Humboldt, las corporaciones autónomas regionales con jurisdicción en el área y demás entidades participantes, ha adelantado desde el año 2018 las diferentes fases del proceso participativo ordenado por la Corte Constitucional, incluyendo convocatoria, información, consulta e iniciativa, y concertación. Como resultado de dicho proceso se ha logrado culminar la fase de concertación en un número significativo de municipios, consolidándose acuerdos que permiten avanzar de manera efectiva en la protección del ecosistema sin desconocer la obligación de continuar las actuaciones pendientes en los demás municipios involucrados</w:t>
            </w:r>
            <w:r w:rsidR="419C4707" w:rsidRPr="00EA3808">
              <w:rPr>
                <w:rFonts w:ascii="Verdana" w:eastAsia="Verdana" w:hAnsi="Verdana" w:cs="Verdana"/>
                <w:sz w:val="21"/>
                <w:szCs w:val="21"/>
                <w:lang w:val="es-CO"/>
              </w:rPr>
              <w:t xml:space="preserve">, </w:t>
            </w:r>
            <w:r w:rsidR="4626744B" w:rsidRPr="00EA3808">
              <w:rPr>
                <w:rFonts w:ascii="Verdana" w:eastAsia="Verdana" w:hAnsi="Verdana" w:cs="Verdana"/>
                <w:sz w:val="21"/>
                <w:szCs w:val="21"/>
                <w:lang w:val="es-CO"/>
              </w:rPr>
              <w:t>armonizar los acuerdos y verificar la integral</w:t>
            </w:r>
            <w:r w:rsidR="48C3ED55" w:rsidRPr="00EA3808">
              <w:rPr>
                <w:rFonts w:ascii="Verdana" w:eastAsia="Verdana" w:hAnsi="Verdana" w:cs="Verdana"/>
                <w:sz w:val="21"/>
                <w:szCs w:val="21"/>
                <w:lang w:val="es-CO"/>
              </w:rPr>
              <w:t xml:space="preserve">idad </w:t>
            </w:r>
            <w:r w:rsidR="4626744B" w:rsidRPr="00EA3808">
              <w:rPr>
                <w:rFonts w:ascii="Verdana" w:eastAsia="Verdana" w:hAnsi="Verdana" w:cs="Verdana"/>
                <w:sz w:val="21"/>
                <w:szCs w:val="21"/>
                <w:lang w:val="es-CO"/>
              </w:rPr>
              <w:t>de</w:t>
            </w:r>
            <w:r w:rsidR="11FC1847" w:rsidRPr="00EA3808">
              <w:rPr>
                <w:rFonts w:ascii="Verdana" w:eastAsia="Verdana" w:hAnsi="Verdana" w:cs="Verdana"/>
                <w:sz w:val="21"/>
                <w:szCs w:val="21"/>
                <w:lang w:val="es-CO"/>
              </w:rPr>
              <w:t>l proceso</w:t>
            </w:r>
            <w:r w:rsidRPr="00EA3808">
              <w:rPr>
                <w:rFonts w:ascii="Verdana" w:eastAsia="Verdana" w:hAnsi="Verdana" w:cs="Verdana"/>
                <w:sz w:val="21"/>
                <w:szCs w:val="21"/>
                <w:lang w:val="es-CO"/>
              </w:rPr>
              <w:t>.</w:t>
            </w:r>
          </w:p>
          <w:p w14:paraId="1BA56443" w14:textId="293B217F" w:rsidR="4095ADAA" w:rsidRPr="00EA3808" w:rsidRDefault="4095ADAA" w:rsidP="4095ADAA">
            <w:pPr>
              <w:pStyle w:val="Listavistosa-nfasis11"/>
              <w:ind w:left="0"/>
              <w:jc w:val="both"/>
              <w:rPr>
                <w:rFonts w:ascii="Verdana" w:hAnsi="Verdana" w:cs="Arial"/>
                <w:color w:val="000000" w:themeColor="text1"/>
              </w:rPr>
            </w:pPr>
          </w:p>
          <w:p w14:paraId="39F76640" w14:textId="77777777" w:rsidR="00AE55B0" w:rsidRPr="00EA3808" w:rsidRDefault="3C413223" w:rsidP="00AE55B0">
            <w:pPr>
              <w:pStyle w:val="Listavistosa-nfasis11"/>
              <w:ind w:left="0"/>
              <w:jc w:val="both"/>
              <w:rPr>
                <w:rFonts w:ascii="Verdana" w:eastAsia="Verdana" w:hAnsi="Verdana" w:cs="Verdana"/>
                <w:sz w:val="21"/>
                <w:szCs w:val="21"/>
                <w:lang w:eastAsia="es-ES"/>
              </w:rPr>
            </w:pPr>
            <w:r w:rsidRPr="00EA3808">
              <w:rPr>
                <w:rFonts w:ascii="Verdana" w:eastAsia="Verdana" w:hAnsi="Verdana" w:cs="Verdana"/>
                <w:sz w:val="21"/>
                <w:szCs w:val="21"/>
                <w:lang w:eastAsia="es-ES"/>
              </w:rPr>
              <w:t>El Complejo de Páramos jurisdicciones–Santurbán–Berlín se localiza en la cordillera Oriental de Colombia, abarcando territorios de los departamentos de Santander y Norte de Santander. Este ecosistema se encuentra dentro de la jurisdicción de 30 municipios, de los cuales 20 pertenecen a Norte de Santander y 10 a Santander, los cuales tienen áreas directas dentro del complejo de páramos.</w:t>
            </w:r>
          </w:p>
          <w:p w14:paraId="3A04F398" w14:textId="1429406E" w:rsidR="4095ADAA" w:rsidRPr="00EA3808" w:rsidRDefault="4095ADAA" w:rsidP="4095ADAA">
            <w:pPr>
              <w:pStyle w:val="Listavistosa-nfasis11"/>
              <w:ind w:left="0"/>
              <w:jc w:val="both"/>
              <w:rPr>
                <w:rFonts w:ascii="Verdana" w:hAnsi="Verdana" w:cs="Arial"/>
                <w:color w:val="000000" w:themeColor="text1"/>
              </w:rPr>
            </w:pPr>
          </w:p>
          <w:p w14:paraId="06E9F0CE" w14:textId="2A55D570" w:rsidR="00AE55B0" w:rsidRPr="00EA3808" w:rsidRDefault="11811ABD" w:rsidP="00AE55B0">
            <w:pPr>
              <w:pStyle w:val="Listavistosa-nfasis11"/>
              <w:ind w:left="0"/>
              <w:jc w:val="both"/>
              <w:rPr>
                <w:rFonts w:ascii="Verdana" w:eastAsia="Verdana" w:hAnsi="Verdana" w:cs="Verdana"/>
                <w:sz w:val="21"/>
                <w:szCs w:val="21"/>
                <w:lang w:eastAsia="es-ES"/>
              </w:rPr>
            </w:pPr>
            <w:r w:rsidRPr="00EA3808">
              <w:rPr>
                <w:rFonts w:ascii="Verdana" w:eastAsia="Verdana" w:hAnsi="Verdana" w:cs="Verdana"/>
                <w:sz w:val="21"/>
                <w:szCs w:val="21"/>
                <w:lang w:eastAsia="es-ES"/>
              </w:rPr>
              <w:lastRenderedPageBreak/>
              <w:t xml:space="preserve">Ahora bien, existen municipios que, aunque no se encuentran dentro del área delimitada del ecosistema, se benefician de los servicios ecosistémicos que este provee, especialmente en términos de abastecimiento y regulación hídrica. En este sentido, se identifican tres (3) municipios en Santander y siete (7) municipios en Norte de Santander </w:t>
            </w:r>
            <w:r w:rsidR="6E213DB1" w:rsidRPr="00EA3808">
              <w:rPr>
                <w:rFonts w:ascii="Verdana" w:eastAsia="Verdana" w:hAnsi="Verdana" w:cs="Verdana"/>
                <w:sz w:val="21"/>
                <w:szCs w:val="21"/>
                <w:lang w:eastAsia="es-ES"/>
              </w:rPr>
              <w:t>beneficiarios</w:t>
            </w:r>
            <w:r w:rsidR="00EA3808">
              <w:rPr>
                <w:rFonts w:ascii="Verdana" w:eastAsia="Verdana" w:hAnsi="Verdana" w:cs="Verdana"/>
                <w:sz w:val="21"/>
                <w:szCs w:val="21"/>
                <w:lang w:eastAsia="es-ES"/>
              </w:rPr>
              <w:t xml:space="preserve"> </w:t>
            </w:r>
            <w:r w:rsidR="6AC9AAA7" w:rsidRPr="00EA3808">
              <w:rPr>
                <w:rFonts w:ascii="Verdana" w:eastAsia="Verdana" w:hAnsi="Verdana" w:cs="Verdana"/>
                <w:sz w:val="21"/>
                <w:szCs w:val="21"/>
                <w:lang w:eastAsia="es-ES"/>
              </w:rPr>
              <w:t>de los servicios ecosistémicos y beneficios ambiéntales que presta el páramo</w:t>
            </w:r>
            <w:r w:rsidR="42BFF9A3" w:rsidRPr="00EA3808">
              <w:rPr>
                <w:rFonts w:ascii="Verdana" w:eastAsia="Verdana" w:hAnsi="Verdana" w:cs="Verdana"/>
                <w:sz w:val="21"/>
                <w:szCs w:val="21"/>
                <w:lang w:eastAsia="es-ES"/>
              </w:rPr>
              <w:t xml:space="preserve"> </w:t>
            </w:r>
            <w:r w:rsidRPr="00EA3808">
              <w:rPr>
                <w:rFonts w:ascii="Verdana" w:eastAsia="Verdana" w:hAnsi="Verdana" w:cs="Verdana"/>
                <w:sz w:val="21"/>
                <w:szCs w:val="21"/>
                <w:lang w:eastAsia="es-ES"/>
              </w:rPr>
              <w:t xml:space="preserve">jurisdicciones, Santurbán - Berlín. </w:t>
            </w:r>
          </w:p>
          <w:p w14:paraId="6BC7972C" w14:textId="5BAC7538" w:rsidR="4095ADAA" w:rsidRDefault="4095ADAA" w:rsidP="4095ADAA">
            <w:pPr>
              <w:pStyle w:val="Listavistosa-nfasis11"/>
              <w:ind w:left="0"/>
              <w:jc w:val="both"/>
              <w:rPr>
                <w:rFonts w:ascii="Verdana" w:hAnsi="Verdana" w:cs="Arial"/>
                <w:color w:val="000000" w:themeColor="text1"/>
              </w:rPr>
            </w:pPr>
          </w:p>
          <w:tbl>
            <w:tblPr>
              <w:tblStyle w:val="Tablaconcuadrcula"/>
              <w:tblW w:w="0" w:type="auto"/>
              <w:tblInd w:w="16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52"/>
              <w:gridCol w:w="2542"/>
              <w:gridCol w:w="1843"/>
            </w:tblGrid>
            <w:tr w:rsidR="00EA3808" w14:paraId="5A60F0BA" w14:textId="77777777" w:rsidTr="00703B55">
              <w:tc>
                <w:tcPr>
                  <w:tcW w:w="1852" w:type="dxa"/>
                  <w:vAlign w:val="center"/>
                </w:tcPr>
                <w:p w14:paraId="787FEB94" w14:textId="2C9B3EF2" w:rsidR="00EA3808" w:rsidRDefault="00EA3808" w:rsidP="00EA3808">
                  <w:pPr>
                    <w:pStyle w:val="Listavistosa-nfasis11"/>
                    <w:ind w:left="0"/>
                    <w:jc w:val="center"/>
                    <w:rPr>
                      <w:rFonts w:ascii="Verdana" w:hAnsi="Verdana" w:cs="Arial"/>
                      <w:color w:val="000000" w:themeColor="text1"/>
                    </w:rPr>
                  </w:pPr>
                  <w:r>
                    <w:rPr>
                      <w:rFonts w:ascii="Verdana" w:hAnsi="Verdana" w:cs="Arial"/>
                      <w:color w:val="000000" w:themeColor="text1"/>
                    </w:rPr>
                    <w:t>Departamento</w:t>
                  </w:r>
                </w:p>
              </w:tc>
              <w:tc>
                <w:tcPr>
                  <w:tcW w:w="2542" w:type="dxa"/>
                  <w:vAlign w:val="center"/>
                </w:tcPr>
                <w:p w14:paraId="5E7D7FDB" w14:textId="2BB6E1E2" w:rsidR="00EA3808" w:rsidRDefault="00EA3808" w:rsidP="00EA3808">
                  <w:pPr>
                    <w:pStyle w:val="Listavistosa-nfasis11"/>
                    <w:ind w:left="0"/>
                    <w:jc w:val="center"/>
                    <w:rPr>
                      <w:rFonts w:ascii="Verdana" w:hAnsi="Verdana" w:cs="Arial"/>
                      <w:color w:val="000000" w:themeColor="text1"/>
                    </w:rPr>
                  </w:pPr>
                  <w:r w:rsidRPr="00EA3808">
                    <w:rPr>
                      <w:rFonts w:ascii="Verdana" w:hAnsi="Verdana" w:cs="Arial"/>
                      <w:color w:val="000000" w:themeColor="text1"/>
                    </w:rPr>
                    <w:t>Municipio</w:t>
                  </w:r>
                </w:p>
              </w:tc>
              <w:tc>
                <w:tcPr>
                  <w:tcW w:w="1843" w:type="dxa"/>
                  <w:vMerge w:val="restart"/>
                  <w:vAlign w:val="center"/>
                </w:tcPr>
                <w:p w14:paraId="0F9ECE67" w14:textId="719CDC9E" w:rsidR="00EA3808" w:rsidRDefault="00EA3808" w:rsidP="00EA3808">
                  <w:pPr>
                    <w:pStyle w:val="Listavistosa-nfasis11"/>
                    <w:ind w:left="0"/>
                    <w:jc w:val="center"/>
                    <w:rPr>
                      <w:rFonts w:ascii="Verdana" w:hAnsi="Verdana" w:cs="Arial"/>
                      <w:color w:val="000000" w:themeColor="text1"/>
                    </w:rPr>
                  </w:pPr>
                  <w:r w:rsidRPr="00EA3808">
                    <w:rPr>
                      <w:rFonts w:ascii="Verdana" w:hAnsi="Verdana" w:cs="Arial"/>
                      <w:color w:val="000000" w:themeColor="text1"/>
                    </w:rPr>
                    <w:t xml:space="preserve">Receptor de Servicios </w:t>
                  </w:r>
                  <w:r w:rsidRPr="00EA3808">
                    <w:rPr>
                      <w:rFonts w:ascii="Verdana" w:hAnsi="Verdana" w:cs="Arial"/>
                      <w:color w:val="000000" w:themeColor="text1"/>
                    </w:rPr>
                    <w:t>Ecosistémicos</w:t>
                  </w:r>
                </w:p>
              </w:tc>
            </w:tr>
            <w:tr w:rsidR="00EA3808" w14:paraId="2247F170" w14:textId="77777777" w:rsidTr="00703B55">
              <w:tc>
                <w:tcPr>
                  <w:tcW w:w="1852" w:type="dxa"/>
                  <w:vMerge w:val="restart"/>
                  <w:vAlign w:val="center"/>
                </w:tcPr>
                <w:p w14:paraId="53FFE8F5" w14:textId="029C31D0" w:rsidR="00EA3808" w:rsidRDefault="00EA3808" w:rsidP="00EA3808">
                  <w:pPr>
                    <w:pStyle w:val="Listavistosa-nfasis11"/>
                    <w:ind w:left="0"/>
                    <w:jc w:val="center"/>
                    <w:rPr>
                      <w:rFonts w:ascii="Verdana" w:hAnsi="Verdana" w:cs="Arial"/>
                      <w:color w:val="000000" w:themeColor="text1"/>
                    </w:rPr>
                  </w:pPr>
                  <w:r w:rsidRPr="00EA3808">
                    <w:rPr>
                      <w:rFonts w:ascii="Verdana" w:hAnsi="Verdana" w:cs="Arial"/>
                      <w:color w:val="000000" w:themeColor="text1"/>
                    </w:rPr>
                    <w:t>Santander</w:t>
                  </w:r>
                </w:p>
              </w:tc>
              <w:tc>
                <w:tcPr>
                  <w:tcW w:w="2542" w:type="dxa"/>
                  <w:vAlign w:val="center"/>
                </w:tcPr>
                <w:p w14:paraId="1B98F398" w14:textId="084334DD" w:rsidR="00EA3808" w:rsidRDefault="00EA3808" w:rsidP="00EA3808">
                  <w:pPr>
                    <w:pStyle w:val="Listavistosa-nfasis11"/>
                    <w:ind w:left="0"/>
                    <w:jc w:val="both"/>
                    <w:rPr>
                      <w:rFonts w:ascii="Verdana" w:hAnsi="Verdana" w:cs="Arial"/>
                      <w:color w:val="000000" w:themeColor="text1"/>
                    </w:rPr>
                  </w:pPr>
                  <w:r w:rsidRPr="00EA3808">
                    <w:rPr>
                      <w:rFonts w:ascii="Verdana" w:hAnsi="Verdana" w:cs="Arial"/>
                      <w:color w:val="000000" w:themeColor="text1"/>
                    </w:rPr>
                    <w:t>Bucaramanga</w:t>
                  </w:r>
                </w:p>
              </w:tc>
              <w:tc>
                <w:tcPr>
                  <w:tcW w:w="1843" w:type="dxa"/>
                  <w:vMerge/>
                </w:tcPr>
                <w:p w14:paraId="55C5D9F8" w14:textId="77777777" w:rsidR="00EA3808" w:rsidRDefault="00EA3808" w:rsidP="00EA3808">
                  <w:pPr>
                    <w:pStyle w:val="Listavistosa-nfasis11"/>
                    <w:ind w:left="0"/>
                    <w:jc w:val="both"/>
                    <w:rPr>
                      <w:rFonts w:ascii="Verdana" w:hAnsi="Verdana" w:cs="Arial"/>
                      <w:color w:val="000000" w:themeColor="text1"/>
                    </w:rPr>
                  </w:pPr>
                </w:p>
              </w:tc>
            </w:tr>
            <w:tr w:rsidR="00EA3808" w14:paraId="7A17AC7A" w14:textId="77777777" w:rsidTr="00703B55">
              <w:tc>
                <w:tcPr>
                  <w:tcW w:w="1852" w:type="dxa"/>
                  <w:vMerge/>
                  <w:vAlign w:val="center"/>
                </w:tcPr>
                <w:p w14:paraId="3D061035" w14:textId="77777777" w:rsidR="00EA3808" w:rsidRDefault="00EA3808" w:rsidP="00EA3808">
                  <w:pPr>
                    <w:pStyle w:val="Listavistosa-nfasis11"/>
                    <w:ind w:left="0"/>
                    <w:jc w:val="center"/>
                    <w:rPr>
                      <w:rFonts w:ascii="Verdana" w:hAnsi="Verdana" w:cs="Arial"/>
                      <w:color w:val="000000" w:themeColor="text1"/>
                    </w:rPr>
                  </w:pPr>
                </w:p>
              </w:tc>
              <w:tc>
                <w:tcPr>
                  <w:tcW w:w="2542" w:type="dxa"/>
                  <w:vAlign w:val="center"/>
                </w:tcPr>
                <w:p w14:paraId="2CA895C6" w14:textId="154FC905" w:rsidR="00EA3808" w:rsidRDefault="00EA3808" w:rsidP="00EA3808">
                  <w:pPr>
                    <w:pStyle w:val="Listavistosa-nfasis11"/>
                    <w:ind w:left="0"/>
                    <w:jc w:val="both"/>
                    <w:rPr>
                      <w:rFonts w:ascii="Verdana" w:hAnsi="Verdana" w:cs="Arial"/>
                      <w:color w:val="000000" w:themeColor="text1"/>
                    </w:rPr>
                  </w:pPr>
                  <w:r w:rsidRPr="00EA3808">
                    <w:rPr>
                      <w:rFonts w:ascii="Verdana" w:hAnsi="Verdana" w:cs="Arial"/>
                      <w:color w:val="000000" w:themeColor="text1"/>
                    </w:rPr>
                    <w:t>Floridablanca</w:t>
                  </w:r>
                </w:p>
              </w:tc>
              <w:tc>
                <w:tcPr>
                  <w:tcW w:w="1843" w:type="dxa"/>
                  <w:vMerge/>
                </w:tcPr>
                <w:p w14:paraId="5A86A292" w14:textId="77777777" w:rsidR="00EA3808" w:rsidRDefault="00EA3808" w:rsidP="00EA3808">
                  <w:pPr>
                    <w:pStyle w:val="Listavistosa-nfasis11"/>
                    <w:ind w:left="0"/>
                    <w:jc w:val="both"/>
                    <w:rPr>
                      <w:rFonts w:ascii="Verdana" w:hAnsi="Verdana" w:cs="Arial"/>
                      <w:color w:val="000000" w:themeColor="text1"/>
                    </w:rPr>
                  </w:pPr>
                </w:p>
              </w:tc>
            </w:tr>
            <w:tr w:rsidR="00EA3808" w14:paraId="054DAC63" w14:textId="77777777" w:rsidTr="00703B55">
              <w:tc>
                <w:tcPr>
                  <w:tcW w:w="1852" w:type="dxa"/>
                  <w:vMerge/>
                  <w:vAlign w:val="center"/>
                </w:tcPr>
                <w:p w14:paraId="7940C4AB" w14:textId="77777777" w:rsidR="00EA3808" w:rsidRDefault="00EA3808" w:rsidP="00EA3808">
                  <w:pPr>
                    <w:pStyle w:val="Listavistosa-nfasis11"/>
                    <w:ind w:left="0"/>
                    <w:jc w:val="center"/>
                    <w:rPr>
                      <w:rFonts w:ascii="Verdana" w:hAnsi="Verdana" w:cs="Arial"/>
                      <w:color w:val="000000" w:themeColor="text1"/>
                    </w:rPr>
                  </w:pPr>
                </w:p>
              </w:tc>
              <w:tc>
                <w:tcPr>
                  <w:tcW w:w="2542" w:type="dxa"/>
                  <w:vAlign w:val="center"/>
                </w:tcPr>
                <w:p w14:paraId="44C5DA2B" w14:textId="30DF8A47" w:rsidR="00EA3808" w:rsidRDefault="00EA3808" w:rsidP="00EA3808">
                  <w:pPr>
                    <w:pStyle w:val="Listavistosa-nfasis11"/>
                    <w:ind w:left="0"/>
                    <w:jc w:val="both"/>
                    <w:rPr>
                      <w:rFonts w:ascii="Verdana" w:hAnsi="Verdana" w:cs="Arial"/>
                      <w:color w:val="000000" w:themeColor="text1"/>
                    </w:rPr>
                  </w:pPr>
                  <w:r w:rsidRPr="00EA3808">
                    <w:rPr>
                      <w:rFonts w:ascii="Verdana" w:hAnsi="Verdana" w:cs="Arial"/>
                      <w:color w:val="000000" w:themeColor="text1"/>
                    </w:rPr>
                    <w:t>Girón</w:t>
                  </w:r>
                </w:p>
              </w:tc>
              <w:tc>
                <w:tcPr>
                  <w:tcW w:w="1843" w:type="dxa"/>
                  <w:vMerge/>
                </w:tcPr>
                <w:p w14:paraId="754F7BCF" w14:textId="77777777" w:rsidR="00EA3808" w:rsidRDefault="00EA3808" w:rsidP="00EA3808">
                  <w:pPr>
                    <w:pStyle w:val="Listavistosa-nfasis11"/>
                    <w:ind w:left="0"/>
                    <w:jc w:val="both"/>
                    <w:rPr>
                      <w:rFonts w:ascii="Verdana" w:hAnsi="Verdana" w:cs="Arial"/>
                      <w:color w:val="000000" w:themeColor="text1"/>
                    </w:rPr>
                  </w:pPr>
                </w:p>
              </w:tc>
            </w:tr>
            <w:tr w:rsidR="00EA3808" w14:paraId="5B80034E" w14:textId="77777777" w:rsidTr="00703B55">
              <w:tc>
                <w:tcPr>
                  <w:tcW w:w="1852" w:type="dxa"/>
                  <w:vMerge w:val="restart"/>
                  <w:vAlign w:val="center"/>
                </w:tcPr>
                <w:p w14:paraId="0FDB12EE" w14:textId="0007F5A8" w:rsidR="00EA3808" w:rsidRDefault="00EA3808" w:rsidP="00EA3808">
                  <w:pPr>
                    <w:pStyle w:val="Listavistosa-nfasis11"/>
                    <w:ind w:left="0"/>
                    <w:jc w:val="center"/>
                    <w:rPr>
                      <w:rFonts w:ascii="Verdana" w:hAnsi="Verdana" w:cs="Arial"/>
                      <w:color w:val="000000" w:themeColor="text1"/>
                    </w:rPr>
                  </w:pPr>
                  <w:r w:rsidRPr="00EA3808">
                    <w:rPr>
                      <w:rFonts w:ascii="Verdana" w:hAnsi="Verdana" w:cs="Arial"/>
                      <w:color w:val="000000" w:themeColor="text1"/>
                    </w:rPr>
                    <w:t>Norte de Santander</w:t>
                  </w:r>
                </w:p>
              </w:tc>
              <w:tc>
                <w:tcPr>
                  <w:tcW w:w="2542" w:type="dxa"/>
                  <w:vAlign w:val="center"/>
                </w:tcPr>
                <w:p w14:paraId="6271FA71" w14:textId="0AC887E2" w:rsidR="00EA3808" w:rsidRDefault="00EA3808" w:rsidP="00EA3808">
                  <w:pPr>
                    <w:pStyle w:val="Listavistosa-nfasis11"/>
                    <w:ind w:left="0"/>
                    <w:jc w:val="both"/>
                    <w:rPr>
                      <w:rFonts w:ascii="Verdana" w:hAnsi="Verdana" w:cs="Arial"/>
                      <w:color w:val="000000" w:themeColor="text1"/>
                    </w:rPr>
                  </w:pPr>
                  <w:r w:rsidRPr="00EA3808">
                    <w:rPr>
                      <w:rFonts w:ascii="Verdana" w:hAnsi="Verdana" w:cs="Arial"/>
                      <w:color w:val="000000" w:themeColor="text1"/>
                    </w:rPr>
                    <w:t>El Zulia</w:t>
                  </w:r>
                </w:p>
              </w:tc>
              <w:tc>
                <w:tcPr>
                  <w:tcW w:w="1843" w:type="dxa"/>
                  <w:vMerge/>
                </w:tcPr>
                <w:p w14:paraId="49A1B3EA" w14:textId="77777777" w:rsidR="00EA3808" w:rsidRDefault="00EA3808" w:rsidP="00EA3808">
                  <w:pPr>
                    <w:pStyle w:val="Listavistosa-nfasis11"/>
                    <w:ind w:left="0"/>
                    <w:jc w:val="both"/>
                    <w:rPr>
                      <w:rFonts w:ascii="Verdana" w:hAnsi="Verdana" w:cs="Arial"/>
                      <w:color w:val="000000" w:themeColor="text1"/>
                    </w:rPr>
                  </w:pPr>
                </w:p>
              </w:tc>
            </w:tr>
            <w:tr w:rsidR="00EA3808" w14:paraId="561B14D5" w14:textId="77777777" w:rsidTr="00703B55">
              <w:tc>
                <w:tcPr>
                  <w:tcW w:w="1852" w:type="dxa"/>
                  <w:vMerge/>
                </w:tcPr>
                <w:p w14:paraId="590BA55F" w14:textId="77777777" w:rsidR="00EA3808" w:rsidRDefault="00EA3808" w:rsidP="00EA3808">
                  <w:pPr>
                    <w:pStyle w:val="Listavistosa-nfasis11"/>
                    <w:ind w:left="0"/>
                    <w:jc w:val="both"/>
                    <w:rPr>
                      <w:rFonts w:ascii="Verdana" w:hAnsi="Verdana" w:cs="Arial"/>
                      <w:color w:val="000000" w:themeColor="text1"/>
                    </w:rPr>
                  </w:pPr>
                </w:p>
              </w:tc>
              <w:tc>
                <w:tcPr>
                  <w:tcW w:w="2542" w:type="dxa"/>
                  <w:vAlign w:val="center"/>
                </w:tcPr>
                <w:p w14:paraId="2ED405C7" w14:textId="4A11A485" w:rsidR="00EA3808" w:rsidRDefault="00EA3808" w:rsidP="00EA3808">
                  <w:pPr>
                    <w:pStyle w:val="Listavistosa-nfasis11"/>
                    <w:ind w:left="0"/>
                    <w:jc w:val="both"/>
                    <w:rPr>
                      <w:rFonts w:ascii="Verdana" w:hAnsi="Verdana" w:cs="Arial"/>
                      <w:color w:val="000000" w:themeColor="text1"/>
                    </w:rPr>
                  </w:pPr>
                  <w:r w:rsidRPr="00EA3808">
                    <w:rPr>
                      <w:rFonts w:ascii="Verdana" w:hAnsi="Verdana" w:cs="Arial"/>
                      <w:color w:val="000000" w:themeColor="text1"/>
                    </w:rPr>
                    <w:t>Los Patios</w:t>
                  </w:r>
                </w:p>
              </w:tc>
              <w:tc>
                <w:tcPr>
                  <w:tcW w:w="1843" w:type="dxa"/>
                  <w:vMerge/>
                </w:tcPr>
                <w:p w14:paraId="16EE7C16" w14:textId="77777777" w:rsidR="00EA3808" w:rsidRDefault="00EA3808" w:rsidP="00EA3808">
                  <w:pPr>
                    <w:pStyle w:val="Listavistosa-nfasis11"/>
                    <w:ind w:left="0"/>
                    <w:jc w:val="both"/>
                    <w:rPr>
                      <w:rFonts w:ascii="Verdana" w:hAnsi="Verdana" w:cs="Arial"/>
                      <w:color w:val="000000" w:themeColor="text1"/>
                    </w:rPr>
                  </w:pPr>
                </w:p>
              </w:tc>
            </w:tr>
            <w:tr w:rsidR="00EA3808" w14:paraId="69CC7E2D" w14:textId="77777777" w:rsidTr="00703B55">
              <w:tc>
                <w:tcPr>
                  <w:tcW w:w="1852" w:type="dxa"/>
                  <w:vMerge/>
                </w:tcPr>
                <w:p w14:paraId="63A77545" w14:textId="77777777" w:rsidR="00EA3808" w:rsidRDefault="00EA3808" w:rsidP="00EA3808">
                  <w:pPr>
                    <w:pStyle w:val="Listavistosa-nfasis11"/>
                    <w:ind w:left="0"/>
                    <w:jc w:val="both"/>
                    <w:rPr>
                      <w:rFonts w:ascii="Verdana" w:hAnsi="Verdana" w:cs="Arial"/>
                      <w:color w:val="000000" w:themeColor="text1"/>
                    </w:rPr>
                  </w:pPr>
                </w:p>
              </w:tc>
              <w:tc>
                <w:tcPr>
                  <w:tcW w:w="2542" w:type="dxa"/>
                  <w:vAlign w:val="center"/>
                </w:tcPr>
                <w:p w14:paraId="2A4ABCC6" w14:textId="21E15DBB" w:rsidR="00EA3808" w:rsidRDefault="00EA3808" w:rsidP="00EA3808">
                  <w:pPr>
                    <w:pStyle w:val="Listavistosa-nfasis11"/>
                    <w:ind w:left="0"/>
                    <w:jc w:val="both"/>
                    <w:rPr>
                      <w:rFonts w:ascii="Verdana" w:hAnsi="Verdana" w:cs="Arial"/>
                      <w:color w:val="000000" w:themeColor="text1"/>
                    </w:rPr>
                  </w:pPr>
                  <w:r w:rsidRPr="00EA3808">
                    <w:rPr>
                      <w:rFonts w:ascii="Verdana" w:hAnsi="Verdana" w:cs="Arial"/>
                      <w:color w:val="000000" w:themeColor="text1"/>
                    </w:rPr>
                    <w:t>Puerto Santander</w:t>
                  </w:r>
                </w:p>
              </w:tc>
              <w:tc>
                <w:tcPr>
                  <w:tcW w:w="1843" w:type="dxa"/>
                  <w:vMerge/>
                </w:tcPr>
                <w:p w14:paraId="1038B034" w14:textId="77777777" w:rsidR="00EA3808" w:rsidRDefault="00EA3808" w:rsidP="00EA3808">
                  <w:pPr>
                    <w:pStyle w:val="Listavistosa-nfasis11"/>
                    <w:ind w:left="0"/>
                    <w:jc w:val="both"/>
                    <w:rPr>
                      <w:rFonts w:ascii="Verdana" w:hAnsi="Verdana" w:cs="Arial"/>
                      <w:color w:val="000000" w:themeColor="text1"/>
                    </w:rPr>
                  </w:pPr>
                </w:p>
              </w:tc>
            </w:tr>
            <w:tr w:rsidR="00EA3808" w14:paraId="01F3BE4D" w14:textId="77777777" w:rsidTr="00703B55">
              <w:tc>
                <w:tcPr>
                  <w:tcW w:w="1852" w:type="dxa"/>
                  <w:vMerge/>
                </w:tcPr>
                <w:p w14:paraId="65116288" w14:textId="77777777" w:rsidR="00EA3808" w:rsidRDefault="00EA3808" w:rsidP="00EA3808">
                  <w:pPr>
                    <w:pStyle w:val="Listavistosa-nfasis11"/>
                    <w:ind w:left="0"/>
                    <w:jc w:val="both"/>
                    <w:rPr>
                      <w:rFonts w:ascii="Verdana" w:hAnsi="Verdana" w:cs="Arial"/>
                      <w:color w:val="000000" w:themeColor="text1"/>
                    </w:rPr>
                  </w:pPr>
                </w:p>
              </w:tc>
              <w:tc>
                <w:tcPr>
                  <w:tcW w:w="2542" w:type="dxa"/>
                  <w:vAlign w:val="center"/>
                </w:tcPr>
                <w:p w14:paraId="66FDE19B" w14:textId="5DD5997C" w:rsidR="00EA3808" w:rsidRDefault="00EA3808" w:rsidP="00EA3808">
                  <w:pPr>
                    <w:pStyle w:val="Listavistosa-nfasis11"/>
                    <w:ind w:left="0"/>
                    <w:jc w:val="both"/>
                    <w:rPr>
                      <w:rFonts w:ascii="Verdana" w:hAnsi="Verdana" w:cs="Arial"/>
                      <w:color w:val="000000" w:themeColor="text1"/>
                    </w:rPr>
                  </w:pPr>
                  <w:r w:rsidRPr="00EA3808">
                    <w:rPr>
                      <w:rFonts w:ascii="Verdana" w:hAnsi="Verdana" w:cs="Arial"/>
                      <w:color w:val="000000" w:themeColor="text1"/>
                    </w:rPr>
                    <w:t>San Cayetano</w:t>
                  </w:r>
                </w:p>
              </w:tc>
              <w:tc>
                <w:tcPr>
                  <w:tcW w:w="1843" w:type="dxa"/>
                  <w:vMerge/>
                </w:tcPr>
                <w:p w14:paraId="34C4EE39" w14:textId="77777777" w:rsidR="00EA3808" w:rsidRDefault="00EA3808" w:rsidP="00EA3808">
                  <w:pPr>
                    <w:pStyle w:val="Listavistosa-nfasis11"/>
                    <w:ind w:left="0"/>
                    <w:jc w:val="both"/>
                    <w:rPr>
                      <w:rFonts w:ascii="Verdana" w:hAnsi="Verdana" w:cs="Arial"/>
                      <w:color w:val="000000" w:themeColor="text1"/>
                    </w:rPr>
                  </w:pPr>
                </w:p>
              </w:tc>
            </w:tr>
            <w:tr w:rsidR="00EA3808" w14:paraId="64CFC487" w14:textId="77777777" w:rsidTr="00703B55">
              <w:tc>
                <w:tcPr>
                  <w:tcW w:w="1852" w:type="dxa"/>
                  <w:vMerge/>
                </w:tcPr>
                <w:p w14:paraId="4D703D0D" w14:textId="77777777" w:rsidR="00EA3808" w:rsidRDefault="00EA3808" w:rsidP="00EA3808">
                  <w:pPr>
                    <w:pStyle w:val="Listavistosa-nfasis11"/>
                    <w:ind w:left="0"/>
                    <w:jc w:val="both"/>
                    <w:rPr>
                      <w:rFonts w:ascii="Verdana" w:hAnsi="Verdana" w:cs="Arial"/>
                      <w:color w:val="000000" w:themeColor="text1"/>
                    </w:rPr>
                  </w:pPr>
                </w:p>
              </w:tc>
              <w:tc>
                <w:tcPr>
                  <w:tcW w:w="2542" w:type="dxa"/>
                  <w:vAlign w:val="center"/>
                </w:tcPr>
                <w:p w14:paraId="65E2F735" w14:textId="666E1FFB" w:rsidR="00EA3808" w:rsidRDefault="00EA3808" w:rsidP="00EA3808">
                  <w:pPr>
                    <w:pStyle w:val="Listavistosa-nfasis11"/>
                    <w:ind w:left="0"/>
                    <w:jc w:val="both"/>
                    <w:rPr>
                      <w:rFonts w:ascii="Verdana" w:hAnsi="Verdana" w:cs="Arial"/>
                      <w:color w:val="000000" w:themeColor="text1"/>
                    </w:rPr>
                  </w:pPr>
                  <w:r w:rsidRPr="00EA3808">
                    <w:rPr>
                      <w:rFonts w:ascii="Verdana" w:hAnsi="Verdana" w:cs="Arial"/>
                      <w:color w:val="000000" w:themeColor="text1"/>
                    </w:rPr>
                    <w:t>San José de Cúcuta</w:t>
                  </w:r>
                </w:p>
              </w:tc>
              <w:tc>
                <w:tcPr>
                  <w:tcW w:w="1843" w:type="dxa"/>
                  <w:vMerge/>
                </w:tcPr>
                <w:p w14:paraId="4F32A423" w14:textId="77777777" w:rsidR="00EA3808" w:rsidRDefault="00EA3808" w:rsidP="00EA3808">
                  <w:pPr>
                    <w:pStyle w:val="Listavistosa-nfasis11"/>
                    <w:ind w:left="0"/>
                    <w:jc w:val="both"/>
                    <w:rPr>
                      <w:rFonts w:ascii="Verdana" w:hAnsi="Verdana" w:cs="Arial"/>
                      <w:color w:val="000000" w:themeColor="text1"/>
                    </w:rPr>
                  </w:pPr>
                </w:p>
              </w:tc>
            </w:tr>
            <w:tr w:rsidR="00EA3808" w14:paraId="6E1A86B4" w14:textId="77777777" w:rsidTr="00703B55">
              <w:tc>
                <w:tcPr>
                  <w:tcW w:w="1852" w:type="dxa"/>
                  <w:vMerge/>
                </w:tcPr>
                <w:p w14:paraId="11B36BE0" w14:textId="77777777" w:rsidR="00EA3808" w:rsidRDefault="00EA3808" w:rsidP="00EA3808">
                  <w:pPr>
                    <w:pStyle w:val="Listavistosa-nfasis11"/>
                    <w:ind w:left="0"/>
                    <w:jc w:val="both"/>
                    <w:rPr>
                      <w:rFonts w:ascii="Verdana" w:hAnsi="Verdana" w:cs="Arial"/>
                      <w:color w:val="000000" w:themeColor="text1"/>
                    </w:rPr>
                  </w:pPr>
                </w:p>
              </w:tc>
              <w:tc>
                <w:tcPr>
                  <w:tcW w:w="2542" w:type="dxa"/>
                  <w:vAlign w:val="center"/>
                </w:tcPr>
                <w:p w14:paraId="2B3E3B61" w14:textId="29CDDCA4" w:rsidR="00EA3808" w:rsidRDefault="00EA3808" w:rsidP="00EA3808">
                  <w:pPr>
                    <w:pStyle w:val="Listavistosa-nfasis11"/>
                    <w:ind w:left="0"/>
                    <w:jc w:val="both"/>
                    <w:rPr>
                      <w:rFonts w:ascii="Verdana" w:hAnsi="Verdana" w:cs="Arial"/>
                      <w:color w:val="000000" w:themeColor="text1"/>
                    </w:rPr>
                  </w:pPr>
                  <w:r w:rsidRPr="00EA3808">
                    <w:rPr>
                      <w:rFonts w:ascii="Verdana" w:hAnsi="Verdana" w:cs="Arial"/>
                      <w:color w:val="000000" w:themeColor="text1"/>
                    </w:rPr>
                    <w:t>Santiago</w:t>
                  </w:r>
                </w:p>
              </w:tc>
              <w:tc>
                <w:tcPr>
                  <w:tcW w:w="1843" w:type="dxa"/>
                  <w:vMerge/>
                </w:tcPr>
                <w:p w14:paraId="0D78CB43" w14:textId="77777777" w:rsidR="00EA3808" w:rsidRDefault="00EA3808" w:rsidP="00EA3808">
                  <w:pPr>
                    <w:pStyle w:val="Listavistosa-nfasis11"/>
                    <w:ind w:left="0"/>
                    <w:jc w:val="both"/>
                    <w:rPr>
                      <w:rFonts w:ascii="Verdana" w:hAnsi="Verdana" w:cs="Arial"/>
                      <w:color w:val="000000" w:themeColor="text1"/>
                    </w:rPr>
                  </w:pPr>
                </w:p>
              </w:tc>
            </w:tr>
            <w:tr w:rsidR="00EA3808" w14:paraId="3611BDD1" w14:textId="77777777" w:rsidTr="00703B55">
              <w:tc>
                <w:tcPr>
                  <w:tcW w:w="1852" w:type="dxa"/>
                  <w:vMerge/>
                </w:tcPr>
                <w:p w14:paraId="0DEF5516" w14:textId="77777777" w:rsidR="00EA3808" w:rsidRDefault="00EA3808" w:rsidP="00EA3808">
                  <w:pPr>
                    <w:pStyle w:val="Listavistosa-nfasis11"/>
                    <w:ind w:left="0"/>
                    <w:jc w:val="both"/>
                    <w:rPr>
                      <w:rFonts w:ascii="Verdana" w:hAnsi="Verdana" w:cs="Arial"/>
                      <w:color w:val="000000" w:themeColor="text1"/>
                    </w:rPr>
                  </w:pPr>
                </w:p>
              </w:tc>
              <w:tc>
                <w:tcPr>
                  <w:tcW w:w="2542" w:type="dxa"/>
                  <w:vAlign w:val="center"/>
                </w:tcPr>
                <w:p w14:paraId="49CBEE99" w14:textId="77777777" w:rsidR="00EA3808" w:rsidRPr="00EA3808" w:rsidRDefault="00EA3808" w:rsidP="00EA3808">
                  <w:pPr>
                    <w:jc w:val="both"/>
                    <w:rPr>
                      <w:rFonts w:ascii="Verdana" w:hAnsi="Verdana" w:cs="Arial"/>
                      <w:color w:val="000000" w:themeColor="text1"/>
                      <w:sz w:val="22"/>
                      <w:szCs w:val="22"/>
                      <w:lang w:val="es-CO" w:eastAsia="es-CO"/>
                    </w:rPr>
                  </w:pPr>
                  <w:r w:rsidRPr="00EA3808">
                    <w:rPr>
                      <w:rFonts w:ascii="Verdana" w:hAnsi="Verdana" w:cs="Arial"/>
                      <w:color w:val="000000" w:themeColor="text1"/>
                      <w:sz w:val="22"/>
                      <w:szCs w:val="22"/>
                      <w:lang w:val="es-CO" w:eastAsia="es-CO"/>
                    </w:rPr>
                    <w:t>Villa del Rosario</w:t>
                  </w:r>
                </w:p>
                <w:p w14:paraId="319FEC4F" w14:textId="77777777" w:rsidR="00EA3808" w:rsidRPr="00EA3808" w:rsidRDefault="00EA3808" w:rsidP="00EA3808">
                  <w:pPr>
                    <w:pStyle w:val="Listavistosa-nfasis11"/>
                    <w:ind w:left="0"/>
                    <w:jc w:val="both"/>
                    <w:rPr>
                      <w:rFonts w:ascii="Verdana" w:hAnsi="Verdana" w:cs="Arial"/>
                      <w:color w:val="000000" w:themeColor="text1"/>
                    </w:rPr>
                  </w:pPr>
                </w:p>
              </w:tc>
              <w:tc>
                <w:tcPr>
                  <w:tcW w:w="1843" w:type="dxa"/>
                  <w:vMerge/>
                </w:tcPr>
                <w:p w14:paraId="5F3958D5" w14:textId="77777777" w:rsidR="00EA3808" w:rsidRDefault="00EA3808" w:rsidP="00EA3808">
                  <w:pPr>
                    <w:pStyle w:val="Listavistosa-nfasis11"/>
                    <w:ind w:left="0"/>
                    <w:jc w:val="both"/>
                    <w:rPr>
                      <w:rFonts w:ascii="Verdana" w:hAnsi="Verdana" w:cs="Arial"/>
                      <w:color w:val="000000" w:themeColor="text1"/>
                    </w:rPr>
                  </w:pPr>
                </w:p>
              </w:tc>
            </w:tr>
          </w:tbl>
          <w:p w14:paraId="48036262" w14:textId="0EF9127F" w:rsidR="086CF79C" w:rsidRPr="00EA3808" w:rsidRDefault="086CF79C" w:rsidP="086CF79C">
            <w:pPr>
              <w:pStyle w:val="Listavistosa-nfasis11"/>
              <w:ind w:left="0"/>
              <w:jc w:val="both"/>
              <w:rPr>
                <w:rFonts w:ascii="Verdana" w:hAnsi="Verdana" w:cs="Arial"/>
                <w:color w:val="000000" w:themeColor="text1"/>
              </w:rPr>
            </w:pPr>
          </w:p>
          <w:p w14:paraId="57C7B63F" w14:textId="28FFE4EF" w:rsidR="00AE55B0" w:rsidRPr="00EA3808" w:rsidRDefault="11811ABD" w:rsidP="00AE55B0">
            <w:pPr>
              <w:pStyle w:val="Listavistosa-nfasis11"/>
              <w:ind w:left="0"/>
              <w:jc w:val="both"/>
              <w:rPr>
                <w:rFonts w:ascii="Verdana" w:eastAsia="Verdana" w:hAnsi="Verdana" w:cs="Verdana"/>
                <w:sz w:val="21"/>
                <w:szCs w:val="21"/>
                <w:lang w:eastAsia="es-ES"/>
              </w:rPr>
            </w:pPr>
            <w:r w:rsidRPr="00EA3808">
              <w:rPr>
                <w:rFonts w:ascii="Verdana" w:eastAsia="Verdana" w:hAnsi="Verdana" w:cs="Verdana"/>
                <w:sz w:val="21"/>
                <w:szCs w:val="21"/>
                <w:lang w:eastAsia="es-ES"/>
              </w:rPr>
              <w:t xml:space="preserve">En cuanto a su extensión, el área de referencia del Complejo de Páramos Jurisdicciones–Santurbán–Berlín comprende aproximadamente 138.417 hectáreas. </w:t>
            </w:r>
            <w:r w:rsidR="087156FE" w:rsidRPr="00EA3808">
              <w:rPr>
                <w:rFonts w:ascii="Verdana" w:eastAsia="Verdana" w:hAnsi="Verdana" w:cs="Verdana"/>
                <w:sz w:val="21"/>
                <w:szCs w:val="21"/>
                <w:lang w:eastAsia="es-ES"/>
              </w:rPr>
              <w:t xml:space="preserve">Es uno de los 37 complejos de páramos identificados, derivado de la aplicación de las </w:t>
            </w:r>
            <w:r w:rsidR="0113F36E" w:rsidRPr="00EA3808">
              <w:rPr>
                <w:rFonts w:ascii="Verdana" w:eastAsia="Verdana" w:hAnsi="Verdana" w:cs="Verdana"/>
                <w:sz w:val="21"/>
                <w:szCs w:val="21"/>
                <w:lang w:eastAsia="es-ES"/>
              </w:rPr>
              <w:t>orientaciones</w:t>
            </w:r>
            <w:r w:rsidR="087156FE" w:rsidRPr="00EA3808">
              <w:rPr>
                <w:rFonts w:ascii="Verdana" w:eastAsia="Verdana" w:hAnsi="Verdana" w:cs="Verdana"/>
                <w:sz w:val="21"/>
                <w:szCs w:val="21"/>
                <w:lang w:eastAsia="es-ES"/>
              </w:rPr>
              <w:t xml:space="preserve"> de manejo de la Ley 145</w:t>
            </w:r>
            <w:r w:rsidR="5E8A5B4A" w:rsidRPr="00EA3808">
              <w:rPr>
                <w:rFonts w:ascii="Verdana" w:eastAsia="Verdana" w:hAnsi="Verdana" w:cs="Verdana"/>
                <w:sz w:val="21"/>
                <w:szCs w:val="21"/>
                <w:lang w:eastAsia="es-ES"/>
              </w:rPr>
              <w:t>0 de 2011</w:t>
            </w:r>
            <w:r w:rsidR="087156FE" w:rsidRPr="00EA3808">
              <w:rPr>
                <w:rFonts w:ascii="Verdana" w:eastAsia="Verdana" w:hAnsi="Verdana" w:cs="Verdana"/>
                <w:sz w:val="21"/>
                <w:szCs w:val="21"/>
                <w:lang w:eastAsia="es-ES"/>
              </w:rPr>
              <w:t xml:space="preserve"> </w:t>
            </w:r>
            <w:r w:rsidR="14C10E23" w:rsidRPr="00EA3808">
              <w:rPr>
                <w:rFonts w:ascii="Verdana" w:eastAsia="Verdana" w:hAnsi="Verdana" w:cs="Verdana"/>
                <w:sz w:val="21"/>
                <w:szCs w:val="21"/>
                <w:lang w:eastAsia="es-ES"/>
              </w:rPr>
              <w:t xml:space="preserve">en su artículo 202. </w:t>
            </w:r>
            <w:r w:rsidRPr="00EA3808">
              <w:rPr>
                <w:rFonts w:ascii="Verdana" w:eastAsia="Verdana" w:hAnsi="Verdana" w:cs="Verdana"/>
                <w:sz w:val="21"/>
                <w:szCs w:val="21"/>
                <w:lang w:eastAsia="es-ES"/>
              </w:rPr>
              <w:t xml:space="preserve">Esta nueva área de referencia fue definida por el Instituto de Investigación de Recursos Biológicos Alexander </w:t>
            </w:r>
            <w:proofErr w:type="spellStart"/>
            <w:r w:rsidRPr="00EA3808">
              <w:rPr>
                <w:rFonts w:ascii="Verdana" w:eastAsia="Verdana" w:hAnsi="Verdana" w:cs="Verdana"/>
                <w:sz w:val="21"/>
                <w:szCs w:val="21"/>
                <w:lang w:eastAsia="es-ES"/>
              </w:rPr>
              <w:t>von</w:t>
            </w:r>
            <w:proofErr w:type="spellEnd"/>
            <w:r w:rsidRPr="00EA3808">
              <w:rPr>
                <w:rFonts w:ascii="Verdana" w:eastAsia="Verdana" w:hAnsi="Verdana" w:cs="Verdana"/>
                <w:sz w:val="21"/>
                <w:szCs w:val="21"/>
                <w:lang w:eastAsia="es-ES"/>
              </w:rPr>
              <w:t xml:space="preserve"> Humboldt (</w:t>
            </w:r>
            <w:proofErr w:type="spellStart"/>
            <w:r w:rsidRPr="00EA3808">
              <w:rPr>
                <w:rFonts w:ascii="Verdana" w:eastAsia="Verdana" w:hAnsi="Verdana" w:cs="Verdana"/>
                <w:sz w:val="21"/>
                <w:szCs w:val="21"/>
                <w:lang w:eastAsia="es-ES"/>
              </w:rPr>
              <w:t>IAvH</w:t>
            </w:r>
            <w:proofErr w:type="spellEnd"/>
            <w:r w:rsidRPr="00EA3808">
              <w:rPr>
                <w:rFonts w:ascii="Verdana" w:eastAsia="Verdana" w:hAnsi="Verdana" w:cs="Verdana"/>
                <w:sz w:val="21"/>
                <w:szCs w:val="21"/>
                <w:lang w:eastAsia="es-ES"/>
              </w:rPr>
              <w:t xml:space="preserve">) en el año 2019, a partir de los aportes y propuestas presentadas por comunidades, entidades territoriales y demás actores involucrados en el proceso. Su magnitud y características ecológicas evidencian la importancia de este complejo de páramos como un ecosistema estratégico para la conservación de la biodiversidad, la regulación hídrica y el abastecimiento de agua para la región nororiental del país. </w:t>
            </w:r>
          </w:p>
          <w:p w14:paraId="40431EF8" w14:textId="48D61F56" w:rsidR="4095ADAA" w:rsidRPr="00EA3808" w:rsidRDefault="4095ADAA" w:rsidP="4095ADAA">
            <w:pPr>
              <w:pStyle w:val="Listavistosa-nfasis11"/>
              <w:ind w:left="0"/>
              <w:jc w:val="both"/>
              <w:rPr>
                <w:rFonts w:ascii="Verdana" w:hAnsi="Verdana" w:cs="Arial"/>
                <w:color w:val="000000" w:themeColor="text1"/>
              </w:rPr>
            </w:pPr>
          </w:p>
          <w:p w14:paraId="2EC9007A" w14:textId="77777777" w:rsidR="00EA3808" w:rsidRPr="00EA3808" w:rsidRDefault="11811ABD" w:rsidP="00AE55B0">
            <w:pPr>
              <w:pStyle w:val="Listavistosa-nfasis11"/>
              <w:ind w:left="0"/>
              <w:jc w:val="both"/>
              <w:rPr>
                <w:rFonts w:ascii="Verdana" w:eastAsia="Verdana" w:hAnsi="Verdana" w:cs="Verdana"/>
                <w:sz w:val="21"/>
                <w:szCs w:val="21"/>
                <w:lang w:eastAsia="es-ES"/>
              </w:rPr>
            </w:pPr>
            <w:r w:rsidRPr="00EA3808">
              <w:rPr>
                <w:rFonts w:ascii="Verdana" w:eastAsia="Verdana" w:hAnsi="Verdana" w:cs="Verdana"/>
                <w:sz w:val="21"/>
                <w:szCs w:val="21"/>
                <w:lang w:eastAsia="es-ES"/>
              </w:rPr>
              <w:t>Esta área se encuentra ubicada en jurisdicción de los municipios de California, Charta, Guaca, El Playón, Piedecuesta, Matanza, Santa Bárbara, Suratá, Tona y Vetas, en el departamento de Santander. Asimismo, incluye a los municipios beneficiarios de los servicios ecosistémicos provenientes del complejo</w:t>
            </w:r>
            <w:r w:rsidR="00EA3808" w:rsidRPr="00EA3808">
              <w:rPr>
                <w:rFonts w:ascii="Verdana" w:eastAsia="Verdana" w:hAnsi="Verdana" w:cs="Verdana"/>
                <w:sz w:val="21"/>
                <w:szCs w:val="21"/>
                <w:lang w:eastAsia="es-ES"/>
              </w:rPr>
              <w:t>.</w:t>
            </w:r>
          </w:p>
          <w:p w14:paraId="30E122E0" w14:textId="77777777" w:rsidR="00EA3808" w:rsidRPr="00EA3808" w:rsidRDefault="00EA3808" w:rsidP="00AE55B0">
            <w:pPr>
              <w:pStyle w:val="Listavistosa-nfasis11"/>
              <w:ind w:left="0"/>
              <w:jc w:val="both"/>
              <w:rPr>
                <w:rFonts w:ascii="Verdana" w:eastAsia="Verdana" w:hAnsi="Verdana" w:cs="Verdana"/>
                <w:sz w:val="21"/>
                <w:szCs w:val="21"/>
                <w:lang w:eastAsia="es-ES"/>
              </w:rPr>
            </w:pPr>
          </w:p>
          <w:p w14:paraId="6B88954A" w14:textId="73A4F968" w:rsidR="00AE55B0" w:rsidRDefault="00AE55B0" w:rsidP="00AE55B0">
            <w:pPr>
              <w:pStyle w:val="Listavistosa-nfasis11"/>
              <w:ind w:left="0"/>
              <w:jc w:val="both"/>
              <w:rPr>
                <w:rFonts w:ascii="Verdana" w:eastAsia="Verdana" w:hAnsi="Verdana" w:cs="Verdana"/>
                <w:sz w:val="21"/>
                <w:szCs w:val="21"/>
                <w:lang w:eastAsia="es-ES"/>
              </w:rPr>
            </w:pPr>
            <w:r w:rsidRPr="00EA3808">
              <w:rPr>
                <w:rFonts w:ascii="Verdana" w:eastAsia="Verdana" w:hAnsi="Verdana" w:cs="Verdana"/>
                <w:sz w:val="21"/>
                <w:szCs w:val="21"/>
                <w:lang w:eastAsia="es-ES"/>
              </w:rPr>
              <w:t xml:space="preserve">Por otra parte, en el departamento de Norte de Santander, el área de referencia comprende territorios de los municipios de Ábrego, Arboledas, Bochalema, </w:t>
            </w:r>
            <w:proofErr w:type="spellStart"/>
            <w:r w:rsidRPr="00EA3808">
              <w:rPr>
                <w:rFonts w:ascii="Verdana" w:eastAsia="Verdana" w:hAnsi="Verdana" w:cs="Verdana"/>
                <w:sz w:val="21"/>
                <w:szCs w:val="21"/>
                <w:lang w:eastAsia="es-ES"/>
              </w:rPr>
              <w:t>Bucarasica</w:t>
            </w:r>
            <w:proofErr w:type="spellEnd"/>
            <w:r w:rsidRPr="00EA3808">
              <w:rPr>
                <w:rFonts w:ascii="Verdana" w:eastAsia="Verdana" w:hAnsi="Verdana" w:cs="Verdana"/>
                <w:sz w:val="21"/>
                <w:szCs w:val="21"/>
                <w:lang w:eastAsia="es-ES"/>
              </w:rPr>
              <w:t xml:space="preserve">, Cáchira, Cácota, Chinácota, Chitagá, </w:t>
            </w:r>
            <w:proofErr w:type="spellStart"/>
            <w:r w:rsidRPr="00EA3808">
              <w:rPr>
                <w:rFonts w:ascii="Verdana" w:eastAsia="Verdana" w:hAnsi="Verdana" w:cs="Verdana"/>
                <w:sz w:val="21"/>
                <w:szCs w:val="21"/>
                <w:lang w:eastAsia="es-ES"/>
              </w:rPr>
              <w:t>Cucutilla</w:t>
            </w:r>
            <w:proofErr w:type="spellEnd"/>
            <w:r w:rsidRPr="00EA3808">
              <w:rPr>
                <w:rFonts w:ascii="Verdana" w:eastAsia="Verdana" w:hAnsi="Verdana" w:cs="Verdana"/>
                <w:sz w:val="21"/>
                <w:szCs w:val="21"/>
                <w:lang w:eastAsia="es-ES"/>
              </w:rPr>
              <w:t xml:space="preserve">, Gramalote, La Esperanza, </w:t>
            </w:r>
            <w:proofErr w:type="spellStart"/>
            <w:r w:rsidRPr="00EA3808">
              <w:rPr>
                <w:rFonts w:ascii="Verdana" w:eastAsia="Verdana" w:hAnsi="Verdana" w:cs="Verdana"/>
                <w:sz w:val="21"/>
                <w:szCs w:val="21"/>
                <w:lang w:eastAsia="es-ES"/>
              </w:rPr>
              <w:t>Labateca</w:t>
            </w:r>
            <w:proofErr w:type="spellEnd"/>
            <w:r w:rsidRPr="00EA3808">
              <w:rPr>
                <w:rFonts w:ascii="Verdana" w:eastAsia="Verdana" w:hAnsi="Verdana" w:cs="Verdana"/>
                <w:sz w:val="21"/>
                <w:szCs w:val="21"/>
                <w:lang w:eastAsia="es-ES"/>
              </w:rPr>
              <w:t xml:space="preserve">, Lourdes, Mutiscua, Pamplona, Pamplonita, Salazar de las Palmas, Santo Domingo de Silos, Villa Caro y Toledo. De igual manera, se reconocen como </w:t>
            </w:r>
            <w:r w:rsidRPr="00EA3808">
              <w:rPr>
                <w:rFonts w:ascii="Verdana" w:eastAsia="Verdana" w:hAnsi="Verdana" w:cs="Verdana"/>
                <w:sz w:val="21"/>
                <w:szCs w:val="21"/>
                <w:lang w:eastAsia="es-ES"/>
              </w:rPr>
              <w:lastRenderedPageBreak/>
              <w:t xml:space="preserve">municipios beneficiarios de los servicios ecosistémicos generados por el complejo a San José de Cúcuta, Los Patios, Villa del Rosario, El Zulia, San Cayetano, Puerto Santander y Santiago. </w:t>
            </w:r>
          </w:p>
          <w:p w14:paraId="3A122FE5" w14:textId="77777777" w:rsidR="00EA3808" w:rsidRPr="00EA3808" w:rsidRDefault="00EA3808" w:rsidP="00AE55B0">
            <w:pPr>
              <w:pStyle w:val="Listavistosa-nfasis11"/>
              <w:ind w:left="0"/>
              <w:jc w:val="both"/>
              <w:rPr>
                <w:rFonts w:ascii="Verdana" w:eastAsia="Verdana" w:hAnsi="Verdana" w:cs="Verdana"/>
                <w:sz w:val="21"/>
                <w:szCs w:val="21"/>
                <w:lang w:eastAsia="es-ES"/>
              </w:rPr>
            </w:pPr>
          </w:p>
          <w:p w14:paraId="75D6B0A5" w14:textId="1B92EB81" w:rsidR="009A50B7" w:rsidRPr="00EA3808" w:rsidRDefault="009A50B7" w:rsidP="00AE55B0">
            <w:pPr>
              <w:pStyle w:val="Descripcin"/>
              <w:keepNext/>
              <w:spacing w:after="0"/>
              <w:jc w:val="center"/>
              <w:rPr>
                <w:color w:val="auto"/>
              </w:rPr>
            </w:pPr>
            <w:r w:rsidRPr="00EA3808">
              <w:rPr>
                <w:color w:val="auto"/>
              </w:rPr>
              <w:fldChar w:fldCharType="begin"/>
            </w:r>
            <w:r w:rsidRPr="00EA3808">
              <w:rPr>
                <w:color w:val="auto"/>
              </w:rPr>
              <w:instrText xml:space="preserve"> SEQ Figura \* ARABIC </w:instrText>
            </w:r>
            <w:r w:rsidRPr="00EA3808">
              <w:rPr>
                <w:color w:val="auto"/>
              </w:rPr>
              <w:fldChar w:fldCharType="separate"/>
            </w:r>
            <w:r w:rsidR="665CB370" w:rsidRPr="00EA3808">
              <w:rPr>
                <w:noProof/>
                <w:color w:val="auto"/>
              </w:rPr>
              <w:t>1</w:t>
            </w:r>
            <w:r w:rsidRPr="00EA3808">
              <w:rPr>
                <w:color w:val="auto"/>
              </w:rPr>
              <w:fldChar w:fldCharType="end"/>
            </w:r>
            <w:r w:rsidR="236BD1BA" w:rsidRPr="00EA3808">
              <w:rPr>
                <w:color w:val="auto"/>
              </w:rPr>
              <w:t xml:space="preserve">. Mapa político-Administrativo del Complejo de Páramos </w:t>
            </w:r>
            <w:r w:rsidR="54C0FAC0" w:rsidRPr="00EA3808">
              <w:rPr>
                <w:color w:val="auto"/>
              </w:rPr>
              <w:t>Jurisdicciones-Santurbán-Berlín</w:t>
            </w:r>
            <w:r w:rsidR="0B7AA3E9" w:rsidRPr="00EA3808">
              <w:rPr>
                <w:color w:val="auto"/>
              </w:rPr>
              <w:t xml:space="preserve"> respecto al área referencia entregada por </w:t>
            </w:r>
            <w:proofErr w:type="spellStart"/>
            <w:r w:rsidR="0B7AA3E9" w:rsidRPr="00EA3808">
              <w:rPr>
                <w:color w:val="auto"/>
              </w:rPr>
              <w:t>IAvH</w:t>
            </w:r>
            <w:proofErr w:type="spellEnd"/>
            <w:r w:rsidR="0B7AA3E9" w:rsidRPr="00EA3808">
              <w:rPr>
                <w:color w:val="auto"/>
              </w:rPr>
              <w:t xml:space="preserve"> en el 2019</w:t>
            </w:r>
            <w:r w:rsidR="236BD1BA" w:rsidRPr="00EA3808">
              <w:rPr>
                <w:color w:val="auto"/>
              </w:rPr>
              <w:t>.</w:t>
            </w:r>
          </w:p>
          <w:p w14:paraId="01C0F720" w14:textId="455E66EE" w:rsidR="001C6719" w:rsidRPr="00EA3808" w:rsidRDefault="54C0FAC0" w:rsidP="001C6719">
            <w:pPr>
              <w:pStyle w:val="Listavistosa-nfasis11"/>
              <w:spacing w:line="240" w:lineRule="auto"/>
              <w:ind w:left="0"/>
              <w:jc w:val="center"/>
              <w:rPr>
                <w:rFonts w:ascii="Verdana" w:hAnsi="Verdana"/>
              </w:rPr>
            </w:pPr>
            <w:r w:rsidRPr="00EA3808">
              <w:rPr>
                <w:rFonts w:ascii="Verdana" w:hAnsi="Verdana"/>
                <w:noProof/>
              </w:rPr>
              <w:drawing>
                <wp:inline distT="0" distB="0" distL="0" distR="0" wp14:anchorId="2BD951C8" wp14:editId="676249B6">
                  <wp:extent cx="2771079" cy="359092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76813" cy="3598356"/>
                          </a:xfrm>
                          <a:prstGeom prst="rect">
                            <a:avLst/>
                          </a:prstGeom>
                          <a:noFill/>
                          <a:ln>
                            <a:noFill/>
                          </a:ln>
                        </pic:spPr>
                      </pic:pic>
                    </a:graphicData>
                  </a:graphic>
                </wp:inline>
              </w:drawing>
            </w:r>
          </w:p>
          <w:p w14:paraId="51977EAC" w14:textId="0D0DAFA1" w:rsidR="00B574A9" w:rsidRPr="00EA3808" w:rsidRDefault="00B574A9" w:rsidP="00B574A9">
            <w:pPr>
              <w:pStyle w:val="Listavistosa-nfasis11"/>
              <w:spacing w:line="240" w:lineRule="auto"/>
              <w:ind w:left="0"/>
              <w:jc w:val="center"/>
              <w:rPr>
                <w:rFonts w:ascii="Verdana" w:hAnsi="Verdana" w:cs="Arial"/>
                <w:iCs/>
                <w:color w:val="000000"/>
                <w:lang w:val="es-ES"/>
              </w:rPr>
            </w:pPr>
          </w:p>
          <w:p w14:paraId="40C9FADF" w14:textId="750B021B" w:rsidR="001C6719" w:rsidRPr="00703B55" w:rsidRDefault="00EA3808" w:rsidP="001C6719">
            <w:pPr>
              <w:pStyle w:val="Listavistosa-nfasis11"/>
              <w:ind w:left="0"/>
              <w:jc w:val="both"/>
              <w:rPr>
                <w:rFonts w:ascii="Verdana" w:eastAsia="Verdana" w:hAnsi="Verdana" w:cs="Verdana"/>
                <w:sz w:val="21"/>
                <w:szCs w:val="21"/>
                <w:lang w:eastAsia="es-ES"/>
              </w:rPr>
            </w:pPr>
            <w:r w:rsidRPr="00703B55">
              <w:rPr>
                <w:rFonts w:ascii="Verdana" w:eastAsia="Verdana" w:hAnsi="Verdana" w:cs="Verdana"/>
                <w:sz w:val="21"/>
                <w:szCs w:val="21"/>
                <w:lang w:eastAsia="es-ES"/>
              </w:rPr>
              <w:t>En la figura 1 se presenta e</w:t>
            </w:r>
            <w:r w:rsidR="49B447A7" w:rsidRPr="00703B55">
              <w:rPr>
                <w:rFonts w:ascii="Verdana" w:eastAsia="Verdana" w:hAnsi="Verdana" w:cs="Verdana"/>
                <w:sz w:val="21"/>
                <w:szCs w:val="21"/>
                <w:lang w:eastAsia="es-ES"/>
              </w:rPr>
              <w:t xml:space="preserve">l área </w:t>
            </w:r>
            <w:r w:rsidR="3673199F" w:rsidRPr="00703B55">
              <w:rPr>
                <w:rFonts w:ascii="Verdana" w:eastAsia="Verdana" w:hAnsi="Verdana" w:cs="Verdana"/>
                <w:sz w:val="21"/>
                <w:szCs w:val="21"/>
                <w:lang w:eastAsia="es-ES"/>
              </w:rPr>
              <w:t>de referencia entrega</w:t>
            </w:r>
            <w:r w:rsidR="781E3D31" w:rsidRPr="00703B55">
              <w:rPr>
                <w:rFonts w:ascii="Verdana" w:eastAsia="Verdana" w:hAnsi="Verdana" w:cs="Verdana"/>
                <w:sz w:val="21"/>
                <w:szCs w:val="21"/>
                <w:lang w:eastAsia="es-ES"/>
              </w:rPr>
              <w:t>da</w:t>
            </w:r>
            <w:r w:rsidR="3673199F" w:rsidRPr="00703B55">
              <w:rPr>
                <w:rFonts w:ascii="Verdana" w:eastAsia="Verdana" w:hAnsi="Verdana" w:cs="Verdana"/>
                <w:sz w:val="21"/>
                <w:szCs w:val="21"/>
                <w:lang w:eastAsia="es-ES"/>
              </w:rPr>
              <w:t xml:space="preserve"> por el </w:t>
            </w:r>
            <w:proofErr w:type="spellStart"/>
            <w:r w:rsidR="3673199F" w:rsidRPr="00703B55">
              <w:rPr>
                <w:rFonts w:ascii="Verdana" w:eastAsia="Verdana" w:hAnsi="Verdana" w:cs="Verdana"/>
                <w:sz w:val="21"/>
                <w:szCs w:val="21"/>
                <w:lang w:eastAsia="es-ES"/>
              </w:rPr>
              <w:t>IAvH</w:t>
            </w:r>
            <w:proofErr w:type="spellEnd"/>
            <w:r w:rsidR="3673199F" w:rsidRPr="00703B55">
              <w:rPr>
                <w:rFonts w:ascii="Verdana" w:eastAsia="Verdana" w:hAnsi="Verdana" w:cs="Verdana"/>
                <w:sz w:val="21"/>
                <w:szCs w:val="21"/>
                <w:lang w:eastAsia="es-ES"/>
              </w:rPr>
              <w:t xml:space="preserve"> </w:t>
            </w:r>
            <w:r w:rsidR="49B447A7" w:rsidRPr="00703B55">
              <w:rPr>
                <w:rFonts w:ascii="Verdana" w:eastAsia="Verdana" w:hAnsi="Verdana" w:cs="Verdana"/>
                <w:sz w:val="21"/>
                <w:szCs w:val="21"/>
                <w:lang w:eastAsia="es-ES"/>
              </w:rPr>
              <w:t xml:space="preserve">del </w:t>
            </w:r>
            <w:r w:rsidR="1F7BE3E7" w:rsidRPr="00703B55">
              <w:rPr>
                <w:rFonts w:ascii="Verdana" w:eastAsia="Verdana" w:hAnsi="Verdana" w:cs="Verdana"/>
                <w:sz w:val="21"/>
                <w:szCs w:val="21"/>
                <w:lang w:eastAsia="es-ES"/>
              </w:rPr>
              <w:t>Complejo de Páramo Jurisdicción Santurbán Berlín -</w:t>
            </w:r>
            <w:r w:rsidR="49B447A7" w:rsidRPr="00703B55">
              <w:rPr>
                <w:rFonts w:ascii="Verdana" w:eastAsia="Verdana" w:hAnsi="Verdana" w:cs="Verdana"/>
                <w:sz w:val="21"/>
                <w:szCs w:val="21"/>
                <w:lang w:eastAsia="es-ES"/>
              </w:rPr>
              <w:t>CPJSB</w:t>
            </w:r>
            <w:r w:rsidR="5036092A" w:rsidRPr="00703B55">
              <w:rPr>
                <w:rFonts w:ascii="Verdana" w:eastAsia="Verdana" w:hAnsi="Verdana" w:cs="Verdana"/>
                <w:sz w:val="21"/>
                <w:szCs w:val="21"/>
                <w:lang w:eastAsia="es-ES"/>
              </w:rPr>
              <w:t>-</w:t>
            </w:r>
            <w:r w:rsidR="49B447A7" w:rsidRPr="00703B55">
              <w:rPr>
                <w:rFonts w:ascii="Verdana" w:eastAsia="Verdana" w:hAnsi="Verdana" w:cs="Verdana"/>
                <w:sz w:val="21"/>
                <w:szCs w:val="21"/>
                <w:lang w:eastAsia="es-ES"/>
              </w:rPr>
              <w:t xml:space="preserve"> para el año 2019, atendiendo a las órdenes de la sentencia T</w:t>
            </w:r>
            <w:r w:rsidR="01B88DC7" w:rsidRPr="00703B55">
              <w:rPr>
                <w:rFonts w:ascii="Verdana" w:eastAsia="Verdana" w:hAnsi="Verdana" w:cs="Verdana"/>
                <w:sz w:val="21"/>
                <w:szCs w:val="21"/>
                <w:lang w:eastAsia="es-ES"/>
              </w:rPr>
              <w:t>-</w:t>
            </w:r>
            <w:r w:rsidR="49B447A7" w:rsidRPr="00703B55">
              <w:rPr>
                <w:rFonts w:ascii="Verdana" w:eastAsia="Verdana" w:hAnsi="Verdana" w:cs="Verdana"/>
                <w:sz w:val="21"/>
                <w:szCs w:val="21"/>
                <w:lang w:eastAsia="es-ES"/>
              </w:rPr>
              <w:t>361 de 2017, se soporta en el límite inferior de la FTBP, corresponde a ciento treinta y ocho mil seiscientas noventa y nueve hectáreas (138.699 ha), distribuidas en ocho (8) polígonos —una zona extensa continua y siete (7) polígonos aislados—, lo cual representa un incremento neto de tres mil cuatrocientas cuarenta y cinco hectáreas (3.445 ha) equivalente al 2,48 % respecto del área de referencia identificada en 2014</w:t>
            </w:r>
            <w:r w:rsidR="00703B55" w:rsidRPr="00703B55">
              <w:rPr>
                <w:rFonts w:ascii="Verdana" w:eastAsia="Verdana" w:hAnsi="Verdana" w:cs="Verdana"/>
                <w:sz w:val="21"/>
                <w:szCs w:val="21"/>
                <w:lang w:eastAsia="es-ES"/>
              </w:rPr>
              <w:t>,</w:t>
            </w:r>
            <w:r w:rsidR="49B447A7" w:rsidRPr="00703B55">
              <w:rPr>
                <w:rFonts w:ascii="Verdana" w:eastAsia="Verdana" w:hAnsi="Verdana" w:cs="Verdana"/>
                <w:sz w:val="21"/>
                <w:szCs w:val="21"/>
                <w:lang w:eastAsia="es-ES"/>
              </w:rPr>
              <w:t xml:space="preserve"> (135.253 ha; </w:t>
            </w:r>
            <w:r w:rsidRPr="00703B55">
              <w:rPr>
                <w:rFonts w:ascii="Verdana" w:eastAsia="Verdana" w:hAnsi="Verdana" w:cs="Verdana"/>
                <w:sz w:val="21"/>
                <w:szCs w:val="21"/>
                <w:lang w:eastAsia="es-ES"/>
              </w:rPr>
              <w:t xml:space="preserve">de acuerdo al la FTB del </w:t>
            </w:r>
            <w:proofErr w:type="spellStart"/>
            <w:r w:rsidRPr="00703B55">
              <w:rPr>
                <w:rFonts w:ascii="Verdana" w:eastAsia="Verdana" w:hAnsi="Verdana" w:cs="Verdana"/>
                <w:sz w:val="21"/>
                <w:szCs w:val="21"/>
                <w:lang w:eastAsia="es-ES"/>
              </w:rPr>
              <w:t>IAvH</w:t>
            </w:r>
            <w:proofErr w:type="spellEnd"/>
            <w:r w:rsidRPr="00703B55">
              <w:rPr>
                <w:rFonts w:ascii="Verdana" w:eastAsia="Verdana" w:hAnsi="Verdana" w:cs="Verdana"/>
                <w:sz w:val="21"/>
                <w:szCs w:val="21"/>
                <w:lang w:eastAsia="es-ES"/>
              </w:rPr>
              <w:t xml:space="preserve"> desarrollado por </w:t>
            </w:r>
            <w:r w:rsidR="49B447A7" w:rsidRPr="00703B55">
              <w:rPr>
                <w:rFonts w:ascii="Verdana" w:eastAsia="Verdana" w:hAnsi="Verdana" w:cs="Verdana"/>
                <w:sz w:val="21"/>
                <w:szCs w:val="21"/>
                <w:lang w:eastAsia="es-ES"/>
              </w:rPr>
              <w:t xml:space="preserve">Sarmiento et al., 2014), que fue adoptada por la Resolución 2090 de 2014. </w:t>
            </w:r>
          </w:p>
          <w:p w14:paraId="7F1FD451" w14:textId="2D95F87A" w:rsidR="4095ADAA" w:rsidRPr="00703B55" w:rsidRDefault="4095ADAA" w:rsidP="4095ADAA">
            <w:pPr>
              <w:pStyle w:val="Listavistosa-nfasis11"/>
              <w:ind w:left="0"/>
              <w:jc w:val="both"/>
              <w:rPr>
                <w:rFonts w:ascii="Verdana" w:eastAsia="Verdana" w:hAnsi="Verdana" w:cs="Verdana"/>
                <w:sz w:val="21"/>
                <w:szCs w:val="21"/>
                <w:lang w:eastAsia="es-ES"/>
              </w:rPr>
            </w:pPr>
          </w:p>
          <w:p w14:paraId="1FAA1CFF" w14:textId="77777777" w:rsidR="001C6719" w:rsidRPr="00703B55" w:rsidRDefault="49B447A7" w:rsidP="001C6719">
            <w:pPr>
              <w:pStyle w:val="Listavistosa-nfasis11"/>
              <w:ind w:left="0"/>
              <w:jc w:val="both"/>
              <w:rPr>
                <w:rFonts w:ascii="Verdana" w:eastAsia="Verdana" w:hAnsi="Verdana" w:cs="Verdana"/>
                <w:sz w:val="21"/>
                <w:szCs w:val="21"/>
                <w:lang w:eastAsia="es-ES"/>
              </w:rPr>
            </w:pPr>
            <w:r w:rsidRPr="00703B55">
              <w:rPr>
                <w:rFonts w:ascii="Verdana" w:eastAsia="Verdana" w:hAnsi="Verdana" w:cs="Verdana"/>
                <w:sz w:val="21"/>
                <w:szCs w:val="21"/>
                <w:lang w:eastAsia="es-ES"/>
              </w:rPr>
              <w:t xml:space="preserve">Dichas variaciones netas se descomponen en nueve mil ciento setenta y tres hectáreas (9.173 ha) de áreas nuevas y cinco mil setecientas veintiocho hectáreas (5.728 ha) de reducción parcial, y se distribuyen, por jurisdicción de Corporaciones Autónomas Regionales, así: CORPONOR (Corporación Autónoma Regional de la Frontera Nororiental) con cambio neto de 3.073 ha (89.254 ha en 2014 </w:t>
            </w:r>
            <w:r w:rsidRPr="00703B55">
              <w:rPr>
                <w:rFonts w:ascii="Arial" w:eastAsia="Verdana" w:hAnsi="Arial" w:cs="Arial"/>
                <w:sz w:val="21"/>
                <w:szCs w:val="21"/>
                <w:lang w:eastAsia="es-ES"/>
              </w:rPr>
              <w:t>→</w:t>
            </w:r>
            <w:r w:rsidRPr="00703B55">
              <w:rPr>
                <w:rFonts w:ascii="Verdana" w:eastAsia="Verdana" w:hAnsi="Verdana" w:cs="Verdana"/>
                <w:sz w:val="21"/>
                <w:szCs w:val="21"/>
                <w:lang w:eastAsia="es-ES"/>
              </w:rPr>
              <w:t xml:space="preserve"> 92.326 ha en 2019); CDMB (Corporación Autónoma Regional para</w:t>
            </w:r>
            <w:r w:rsidRPr="00EA3808">
              <w:rPr>
                <w:rFonts w:ascii="Verdana" w:hAnsi="Verdana" w:cs="Arial"/>
                <w:color w:val="000000" w:themeColor="text1"/>
              </w:rPr>
              <w:t xml:space="preserve"> </w:t>
            </w:r>
            <w:r w:rsidRPr="00703B55">
              <w:rPr>
                <w:rFonts w:ascii="Verdana" w:eastAsia="Verdana" w:hAnsi="Verdana" w:cs="Verdana"/>
                <w:sz w:val="21"/>
                <w:szCs w:val="21"/>
                <w:lang w:eastAsia="es-ES"/>
              </w:rPr>
              <w:t xml:space="preserve">la Defensa de la Meseta de Bucaramanga) con cambio neto de 373 ha (40.491 ha </w:t>
            </w:r>
            <w:r w:rsidRPr="00703B55">
              <w:rPr>
                <w:rFonts w:ascii="Arial" w:eastAsia="Verdana" w:hAnsi="Arial" w:cs="Arial"/>
                <w:sz w:val="21"/>
                <w:szCs w:val="21"/>
                <w:lang w:eastAsia="es-ES"/>
              </w:rPr>
              <w:t>→</w:t>
            </w:r>
            <w:r w:rsidRPr="00703B55">
              <w:rPr>
                <w:rFonts w:ascii="Verdana" w:eastAsia="Verdana" w:hAnsi="Verdana" w:cs="Verdana"/>
                <w:sz w:val="21"/>
                <w:szCs w:val="21"/>
                <w:lang w:eastAsia="es-ES"/>
              </w:rPr>
              <w:t xml:space="preserve"> 40.864 ha); y CAS (Corporación Autónoma </w:t>
            </w:r>
            <w:r w:rsidRPr="00703B55">
              <w:rPr>
                <w:rFonts w:ascii="Verdana" w:eastAsia="Verdana" w:hAnsi="Verdana" w:cs="Verdana"/>
                <w:sz w:val="21"/>
                <w:szCs w:val="21"/>
                <w:lang w:eastAsia="es-ES"/>
              </w:rPr>
              <w:lastRenderedPageBreak/>
              <w:t xml:space="preserve">Regional de Santander) sin cambios (5.509 ha), área identificada con criterios biogeográficos como parte del complejo desde Morales, Otero, van </w:t>
            </w:r>
            <w:proofErr w:type="spellStart"/>
            <w:r w:rsidRPr="00703B55">
              <w:rPr>
                <w:rFonts w:ascii="Verdana" w:eastAsia="Verdana" w:hAnsi="Verdana" w:cs="Verdana"/>
                <w:sz w:val="21"/>
                <w:szCs w:val="21"/>
                <w:lang w:eastAsia="es-ES"/>
              </w:rPr>
              <w:t>der</w:t>
            </w:r>
            <w:proofErr w:type="spellEnd"/>
            <w:r w:rsidRPr="00703B55">
              <w:rPr>
                <w:rFonts w:ascii="Verdana" w:eastAsia="Verdana" w:hAnsi="Verdana" w:cs="Verdana"/>
                <w:sz w:val="21"/>
                <w:szCs w:val="21"/>
                <w:lang w:eastAsia="es-ES"/>
              </w:rPr>
              <w:t xml:space="preserve"> Hammen et al. (2007). </w:t>
            </w:r>
          </w:p>
          <w:p w14:paraId="353C1AA0" w14:textId="126F1F09" w:rsidR="4095ADAA" w:rsidRPr="00703B55" w:rsidRDefault="4095ADAA" w:rsidP="4095ADAA">
            <w:pPr>
              <w:pStyle w:val="Listavistosa-nfasis11"/>
              <w:ind w:left="0"/>
              <w:jc w:val="both"/>
              <w:rPr>
                <w:rFonts w:ascii="Verdana" w:eastAsia="Verdana" w:hAnsi="Verdana" w:cs="Verdana"/>
                <w:sz w:val="21"/>
                <w:szCs w:val="21"/>
                <w:lang w:eastAsia="es-ES"/>
              </w:rPr>
            </w:pPr>
          </w:p>
          <w:p w14:paraId="5C273043" w14:textId="77777777" w:rsidR="001C6719" w:rsidRPr="00703B55" w:rsidRDefault="54C0FAC0" w:rsidP="001C6719">
            <w:pPr>
              <w:pStyle w:val="Listavistosa-nfasis11"/>
              <w:ind w:left="0"/>
              <w:jc w:val="both"/>
              <w:rPr>
                <w:rFonts w:ascii="Verdana" w:eastAsia="Verdana" w:hAnsi="Verdana" w:cs="Verdana"/>
                <w:sz w:val="21"/>
                <w:szCs w:val="21"/>
                <w:lang w:eastAsia="es-ES"/>
              </w:rPr>
            </w:pPr>
            <w:r w:rsidRPr="00703B55">
              <w:rPr>
                <w:rFonts w:ascii="Verdana" w:eastAsia="Verdana" w:hAnsi="Verdana" w:cs="Verdana"/>
                <w:sz w:val="21"/>
                <w:szCs w:val="21"/>
                <w:lang w:eastAsia="es-ES"/>
              </w:rPr>
              <w:t xml:space="preserve">En relación con la distribución territorial del área de referencia del Complejo de Páramos Jurisdicciones–Santurbán–Berlín, esta se encuentra bajo la jurisdicción de tres autoridades ambientales. La mayor extensión corresponde a la Corporación Autónoma Regional de la Frontera Nororiental - CORPONOR, con aproximadamente 92.326 hectáreas, equivalentes al 66,5 % del área total. Le sigue la Corporación Autónoma Regional para la Defensa de la Meseta de Bucaramanga - CDMB, con una extensión de 40.864 hectáreas, que representan el 29,4 %. Finalmente, la Corporación Autónoma Regional de Santander – CAS, ejerce jurisdicción sobre 5.509 hectáreas, correspondientes al 3,9 % restante. </w:t>
            </w:r>
          </w:p>
          <w:p w14:paraId="35A0D5D9" w14:textId="31EF1DBF" w:rsidR="4095ADAA" w:rsidRPr="00EA3808" w:rsidRDefault="4095ADAA" w:rsidP="4095ADAA">
            <w:pPr>
              <w:pStyle w:val="Listavistosa-nfasis11"/>
              <w:ind w:left="0"/>
              <w:jc w:val="both"/>
              <w:rPr>
                <w:rFonts w:ascii="Verdana" w:hAnsi="Verdana" w:cs="Arial"/>
                <w:color w:val="000000" w:themeColor="text1"/>
              </w:rPr>
            </w:pPr>
          </w:p>
          <w:p w14:paraId="017286D3" w14:textId="1706B512" w:rsidR="00A725B0" w:rsidRPr="00EA3808" w:rsidRDefault="4B2DB49C" w:rsidP="4095ADAA">
            <w:pPr>
              <w:pStyle w:val="Listavistosa-nfasis11"/>
              <w:spacing w:line="240" w:lineRule="auto"/>
              <w:ind w:left="0"/>
              <w:jc w:val="center"/>
              <w:rPr>
                <w:rFonts w:ascii="Verdana" w:hAnsi="Verdana" w:cs="Arial"/>
                <w:i/>
                <w:iCs/>
                <w:color w:val="000000" w:themeColor="text1"/>
              </w:rPr>
            </w:pPr>
            <w:r w:rsidRPr="00EA3808">
              <w:rPr>
                <w:rFonts w:ascii="Verdana" w:hAnsi="Verdana"/>
                <w:i/>
                <w:iCs/>
              </w:rPr>
              <w:t xml:space="preserve">Figura </w:t>
            </w:r>
            <w:r w:rsidR="00703B55">
              <w:rPr>
                <w:rFonts w:ascii="Verdana" w:hAnsi="Verdana"/>
                <w:i/>
                <w:iCs/>
              </w:rPr>
              <w:t>2</w:t>
            </w:r>
            <w:r w:rsidRPr="00EA3808">
              <w:rPr>
                <w:rFonts w:ascii="Verdana" w:hAnsi="Verdana"/>
                <w:i/>
                <w:iCs/>
              </w:rPr>
              <w:t xml:space="preserve">. Áreas Protegidas – RUNAP con territorio en el </w:t>
            </w:r>
            <w:r w:rsidR="0A4B8422" w:rsidRPr="00EA3808">
              <w:rPr>
                <w:rFonts w:ascii="Verdana" w:hAnsi="Verdana"/>
                <w:i/>
                <w:iCs/>
              </w:rPr>
              <w:t xml:space="preserve">del Complejo de Páramos Jurisdicciones-Santurbán-Berlín respecto al área referencia entregada por </w:t>
            </w:r>
            <w:proofErr w:type="spellStart"/>
            <w:r w:rsidR="0A4B8422" w:rsidRPr="00EA3808">
              <w:rPr>
                <w:rFonts w:ascii="Verdana" w:hAnsi="Verdana"/>
                <w:i/>
                <w:iCs/>
              </w:rPr>
              <w:t>IAvH</w:t>
            </w:r>
            <w:proofErr w:type="spellEnd"/>
            <w:r w:rsidR="0A4B8422" w:rsidRPr="00EA3808">
              <w:rPr>
                <w:rFonts w:ascii="Verdana" w:hAnsi="Verdana"/>
                <w:i/>
                <w:iCs/>
              </w:rPr>
              <w:t xml:space="preserve"> en el 2019</w:t>
            </w:r>
            <w:r w:rsidR="603EE1E1" w:rsidRPr="00EA3808">
              <w:rPr>
                <w:rFonts w:ascii="Verdana" w:hAnsi="Verdana" w:cs="Arial"/>
                <w:i/>
                <w:iCs/>
                <w:color w:val="000000" w:themeColor="text1"/>
              </w:rPr>
              <w:t xml:space="preserve"> </w:t>
            </w:r>
          </w:p>
          <w:p w14:paraId="1EA286C6" w14:textId="5B99AD67" w:rsidR="00A725B0" w:rsidRPr="00EA3808" w:rsidRDefault="54C0FAC0" w:rsidP="4095ADAA">
            <w:pPr>
              <w:pStyle w:val="Listavistosa-nfasis11"/>
              <w:spacing w:line="240" w:lineRule="auto"/>
              <w:ind w:left="0"/>
              <w:jc w:val="center"/>
              <w:rPr>
                <w:rFonts w:ascii="Verdana" w:hAnsi="Verdana" w:cs="Arial"/>
                <w:color w:val="000000"/>
              </w:rPr>
            </w:pPr>
            <w:r w:rsidRPr="00EA3808">
              <w:rPr>
                <w:rFonts w:ascii="Verdana" w:hAnsi="Verdana"/>
                <w:noProof/>
              </w:rPr>
              <w:drawing>
                <wp:inline distT="0" distB="0" distL="0" distR="0" wp14:anchorId="27260CA6" wp14:editId="7389A9DC">
                  <wp:extent cx="3280410" cy="4172092"/>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4343" cy="4227967"/>
                          </a:xfrm>
                          <a:prstGeom prst="rect">
                            <a:avLst/>
                          </a:prstGeom>
                          <a:noFill/>
                          <a:ln>
                            <a:noFill/>
                          </a:ln>
                        </pic:spPr>
                      </pic:pic>
                    </a:graphicData>
                  </a:graphic>
                </wp:inline>
              </w:drawing>
            </w:r>
          </w:p>
          <w:p w14:paraId="66E4060F" w14:textId="77777777" w:rsidR="002D138E" w:rsidRPr="00703B55" w:rsidRDefault="002D138E" w:rsidP="00B574A9">
            <w:pPr>
              <w:pStyle w:val="Listavistosa-nfasis11"/>
              <w:spacing w:line="240" w:lineRule="auto"/>
              <w:ind w:left="0"/>
              <w:jc w:val="center"/>
              <w:rPr>
                <w:rFonts w:ascii="Verdana" w:eastAsia="Verdana" w:hAnsi="Verdana" w:cs="Verdana"/>
                <w:sz w:val="21"/>
                <w:szCs w:val="21"/>
                <w:lang w:eastAsia="es-ES"/>
              </w:rPr>
            </w:pPr>
          </w:p>
          <w:p w14:paraId="7CD9E96D" w14:textId="5A0F70B6" w:rsidR="002D138E" w:rsidRPr="00703B55" w:rsidRDefault="717CF8B8" w:rsidP="4095ADAA">
            <w:pPr>
              <w:pStyle w:val="Listavistosa-nfasis11"/>
              <w:spacing w:line="240" w:lineRule="auto"/>
              <w:ind w:left="0"/>
              <w:jc w:val="both"/>
              <w:rPr>
                <w:rFonts w:ascii="Verdana" w:eastAsia="Verdana" w:hAnsi="Verdana" w:cs="Verdana"/>
                <w:sz w:val="21"/>
                <w:szCs w:val="21"/>
                <w:lang w:eastAsia="es-ES"/>
              </w:rPr>
            </w:pPr>
            <w:r w:rsidRPr="00703B55">
              <w:rPr>
                <w:rFonts w:ascii="Verdana" w:eastAsia="Verdana" w:hAnsi="Verdana" w:cs="Verdana"/>
                <w:sz w:val="21"/>
                <w:szCs w:val="21"/>
                <w:lang w:eastAsia="es-ES"/>
              </w:rPr>
              <w:t>Por su parte</w:t>
            </w:r>
            <w:r w:rsidR="2A1C62DA" w:rsidRPr="00703B55">
              <w:rPr>
                <w:rFonts w:ascii="Verdana" w:eastAsia="Verdana" w:hAnsi="Verdana" w:cs="Verdana"/>
                <w:sz w:val="21"/>
                <w:szCs w:val="21"/>
                <w:lang w:eastAsia="es-ES"/>
              </w:rPr>
              <w:t xml:space="preserve">, </w:t>
            </w:r>
            <w:r w:rsidR="0743FD92" w:rsidRPr="00703B55">
              <w:rPr>
                <w:rFonts w:ascii="Verdana" w:eastAsia="Verdana" w:hAnsi="Verdana" w:cs="Verdana"/>
                <w:sz w:val="21"/>
                <w:szCs w:val="21"/>
                <w:lang w:eastAsia="es-ES"/>
              </w:rPr>
              <w:t>el 27 de julio de 2018, el Congreso de Colombia expid</w:t>
            </w:r>
            <w:r w:rsidR="172BBB41" w:rsidRPr="00703B55">
              <w:rPr>
                <w:rFonts w:ascii="Verdana" w:eastAsia="Verdana" w:hAnsi="Verdana" w:cs="Verdana"/>
                <w:sz w:val="21"/>
                <w:szCs w:val="21"/>
                <w:lang w:eastAsia="es-ES"/>
              </w:rPr>
              <w:t>ió</w:t>
            </w:r>
            <w:r w:rsidR="0743FD92" w:rsidRPr="00703B55">
              <w:rPr>
                <w:rFonts w:ascii="Verdana" w:eastAsia="Verdana" w:hAnsi="Verdana" w:cs="Verdana"/>
                <w:sz w:val="21"/>
                <w:szCs w:val="21"/>
                <w:lang w:eastAsia="es-ES"/>
              </w:rPr>
              <w:t xml:space="preserve"> </w:t>
            </w:r>
            <w:r w:rsidR="2A1C62DA" w:rsidRPr="00703B55">
              <w:rPr>
                <w:rFonts w:ascii="Verdana" w:eastAsia="Verdana" w:hAnsi="Verdana" w:cs="Verdana"/>
                <w:sz w:val="21"/>
                <w:szCs w:val="21"/>
                <w:lang w:eastAsia="es-ES"/>
              </w:rPr>
              <w:t>la Ley 1930 de 2018</w:t>
            </w:r>
            <w:r w:rsidR="7C34B78D" w:rsidRPr="00703B55">
              <w:rPr>
                <w:rFonts w:ascii="Verdana" w:eastAsia="Verdana" w:hAnsi="Verdana" w:cs="Verdana"/>
                <w:sz w:val="21"/>
                <w:szCs w:val="21"/>
                <w:lang w:eastAsia="es-ES"/>
              </w:rPr>
              <w:t xml:space="preserve">, con la cual </w:t>
            </w:r>
            <w:r w:rsidR="6F393438" w:rsidRPr="00703B55">
              <w:rPr>
                <w:rFonts w:ascii="Verdana" w:eastAsia="Verdana" w:hAnsi="Verdana" w:cs="Verdana"/>
                <w:sz w:val="21"/>
                <w:szCs w:val="21"/>
                <w:lang w:eastAsia="es-ES"/>
              </w:rPr>
              <w:t>estableció</w:t>
            </w:r>
            <w:r w:rsidR="7C34B78D" w:rsidRPr="00703B55">
              <w:rPr>
                <w:rFonts w:ascii="Verdana" w:eastAsia="Verdana" w:hAnsi="Verdana" w:cs="Verdana"/>
                <w:sz w:val="21"/>
                <w:szCs w:val="21"/>
                <w:lang w:eastAsia="es-ES"/>
              </w:rPr>
              <w:t xml:space="preserve"> las disposiciones para la gestión integral de los páramos de Colombia. Esta ley reconoció a estos ecosistemas como estratégicos y de prioridad nacional, </w:t>
            </w:r>
            <w:r w:rsidR="7C9F7431" w:rsidRPr="00703B55">
              <w:rPr>
                <w:rFonts w:ascii="Verdana" w:eastAsia="Verdana" w:hAnsi="Verdana" w:cs="Verdana"/>
                <w:sz w:val="21"/>
                <w:szCs w:val="21"/>
                <w:lang w:eastAsia="es-ES"/>
              </w:rPr>
              <w:t xml:space="preserve">definió a los habitantes </w:t>
            </w:r>
            <w:r w:rsidR="7C9F7431" w:rsidRPr="00703B55">
              <w:rPr>
                <w:rFonts w:ascii="Verdana" w:eastAsia="Verdana" w:hAnsi="Verdana" w:cs="Verdana"/>
                <w:sz w:val="21"/>
                <w:szCs w:val="21"/>
                <w:lang w:eastAsia="es-ES"/>
              </w:rPr>
              <w:lastRenderedPageBreak/>
              <w:t xml:space="preserve">tradicionales de páramo y el enfoque diferencial con el que deben ser atendidos, y dispuso la vinculación de las comunidades en los procesos de protección, manejo y planificación de estos territorios. Asimismo, estableció que la delimitación de los páramos corresponde al Ministerio de Ambiente y Desarrollo Sostenible con </w:t>
            </w:r>
            <w:r w:rsidR="77FD7DDE" w:rsidRPr="00703B55">
              <w:rPr>
                <w:rFonts w:ascii="Verdana" w:eastAsia="Verdana" w:hAnsi="Verdana" w:cs="Verdana"/>
                <w:sz w:val="21"/>
                <w:szCs w:val="21"/>
                <w:lang w:eastAsia="es-ES"/>
              </w:rPr>
              <w:t xml:space="preserve">base en el área de referencia generada por el Instituto Alexander </w:t>
            </w:r>
            <w:proofErr w:type="spellStart"/>
            <w:r w:rsidR="77FD7DDE" w:rsidRPr="00703B55">
              <w:rPr>
                <w:rFonts w:ascii="Verdana" w:eastAsia="Verdana" w:hAnsi="Verdana" w:cs="Verdana"/>
                <w:sz w:val="21"/>
                <w:szCs w:val="21"/>
                <w:lang w:eastAsia="es-ES"/>
              </w:rPr>
              <w:t>von</w:t>
            </w:r>
            <w:proofErr w:type="spellEnd"/>
            <w:r w:rsidR="77FD7DDE" w:rsidRPr="00703B55">
              <w:rPr>
                <w:rFonts w:ascii="Verdana" w:eastAsia="Verdana" w:hAnsi="Verdana" w:cs="Verdana"/>
                <w:sz w:val="21"/>
                <w:szCs w:val="21"/>
                <w:lang w:eastAsia="es-ES"/>
              </w:rPr>
              <w:t xml:space="preserve"> Humboldt, teniendo en cuenta los ETESA como insumos para el proceso de delimitación. </w:t>
            </w:r>
            <w:r w:rsidR="03B581C6" w:rsidRPr="00703B55">
              <w:rPr>
                <w:rFonts w:ascii="Verdana" w:eastAsia="Verdana" w:hAnsi="Verdana" w:cs="Verdana"/>
                <w:sz w:val="21"/>
                <w:szCs w:val="21"/>
                <w:lang w:eastAsia="es-ES"/>
              </w:rPr>
              <w:t>En todo caso, la ley establece</w:t>
            </w:r>
            <w:r w:rsidR="77FD7DDE" w:rsidRPr="00703B55">
              <w:rPr>
                <w:rFonts w:ascii="Verdana" w:eastAsia="Verdana" w:hAnsi="Verdana" w:cs="Verdana"/>
                <w:sz w:val="21"/>
                <w:szCs w:val="21"/>
                <w:lang w:eastAsia="es-ES"/>
              </w:rPr>
              <w:t xml:space="preserve"> que cualquier apartamiento de dicha área de referencia deberá sustentarse en criterio</w:t>
            </w:r>
            <w:r w:rsidR="03B581C6" w:rsidRPr="00703B55">
              <w:rPr>
                <w:rFonts w:ascii="Verdana" w:eastAsia="Verdana" w:hAnsi="Verdana" w:cs="Verdana"/>
                <w:sz w:val="21"/>
                <w:szCs w:val="21"/>
                <w:lang w:eastAsia="es-ES"/>
              </w:rPr>
              <w:t>s</w:t>
            </w:r>
            <w:r w:rsidR="77FD7DDE" w:rsidRPr="00703B55">
              <w:rPr>
                <w:rFonts w:ascii="Verdana" w:eastAsia="Verdana" w:hAnsi="Verdana" w:cs="Verdana"/>
                <w:sz w:val="21"/>
                <w:szCs w:val="21"/>
                <w:lang w:eastAsia="es-ES"/>
              </w:rPr>
              <w:t xml:space="preserve"> científicos que provean un mayor grado de protección al ecosistema.</w:t>
            </w:r>
          </w:p>
          <w:p w14:paraId="1093C4F2" w14:textId="77777777" w:rsidR="002D138E" w:rsidRPr="00703B55" w:rsidRDefault="002D138E" w:rsidP="4095ADAA">
            <w:pPr>
              <w:pStyle w:val="Listavistosa-nfasis11"/>
              <w:spacing w:line="240" w:lineRule="auto"/>
              <w:ind w:left="0"/>
              <w:jc w:val="both"/>
              <w:rPr>
                <w:rFonts w:ascii="Verdana" w:eastAsia="Verdana" w:hAnsi="Verdana" w:cs="Verdana"/>
                <w:sz w:val="21"/>
                <w:szCs w:val="21"/>
                <w:lang w:eastAsia="es-ES"/>
              </w:rPr>
            </w:pPr>
          </w:p>
          <w:p w14:paraId="37B4F83D" w14:textId="3D4F4146" w:rsidR="008D55D1" w:rsidRPr="00703B55" w:rsidRDefault="4623AFA7" w:rsidP="002D138E">
            <w:pPr>
              <w:pStyle w:val="Listavistosa-nfasis11"/>
              <w:spacing w:line="240" w:lineRule="auto"/>
              <w:ind w:left="0"/>
              <w:jc w:val="both"/>
              <w:rPr>
                <w:rFonts w:ascii="Verdana" w:eastAsia="Verdana" w:hAnsi="Verdana" w:cs="Verdana"/>
                <w:sz w:val="21"/>
                <w:szCs w:val="21"/>
                <w:lang w:eastAsia="es-ES"/>
              </w:rPr>
            </w:pPr>
            <w:r w:rsidRPr="00703B55">
              <w:rPr>
                <w:rFonts w:ascii="Verdana" w:eastAsia="Verdana" w:hAnsi="Verdana" w:cs="Verdana"/>
                <w:sz w:val="21"/>
                <w:szCs w:val="21"/>
                <w:lang w:eastAsia="es-ES"/>
              </w:rPr>
              <w:t>S</w:t>
            </w:r>
            <w:r w:rsidR="60001E0D" w:rsidRPr="00703B55">
              <w:rPr>
                <w:rFonts w:ascii="Verdana" w:eastAsia="Verdana" w:hAnsi="Verdana" w:cs="Verdana"/>
                <w:sz w:val="21"/>
                <w:szCs w:val="21"/>
                <w:lang w:eastAsia="es-ES"/>
              </w:rPr>
              <w:t xml:space="preserve">e definieron seis (6) temas objeto de debate o “ineludibles”, </w:t>
            </w:r>
            <w:r w:rsidR="538E664E" w:rsidRPr="00703B55">
              <w:rPr>
                <w:rFonts w:ascii="Verdana" w:eastAsia="Verdana" w:hAnsi="Verdana" w:cs="Verdana"/>
                <w:sz w:val="21"/>
                <w:szCs w:val="21"/>
                <w:lang w:eastAsia="es-ES"/>
              </w:rPr>
              <w:t>conform</w:t>
            </w:r>
            <w:r w:rsidR="2CBBF852" w:rsidRPr="00703B55">
              <w:rPr>
                <w:rFonts w:ascii="Verdana" w:eastAsia="Verdana" w:hAnsi="Verdana" w:cs="Verdana"/>
                <w:sz w:val="21"/>
                <w:szCs w:val="21"/>
                <w:lang w:eastAsia="es-ES"/>
              </w:rPr>
              <w:t>e a</w:t>
            </w:r>
            <w:r w:rsidR="538E664E" w:rsidRPr="00703B55">
              <w:rPr>
                <w:rFonts w:ascii="Verdana" w:eastAsia="Verdana" w:hAnsi="Verdana" w:cs="Verdana"/>
                <w:sz w:val="21"/>
                <w:szCs w:val="21"/>
                <w:lang w:eastAsia="es-ES"/>
              </w:rPr>
              <w:t xml:space="preserve"> l</w:t>
            </w:r>
            <w:r w:rsidR="2CBBF852" w:rsidRPr="00703B55">
              <w:rPr>
                <w:rFonts w:ascii="Verdana" w:eastAsia="Verdana" w:hAnsi="Verdana" w:cs="Verdana"/>
                <w:sz w:val="21"/>
                <w:szCs w:val="21"/>
                <w:lang w:eastAsia="es-ES"/>
              </w:rPr>
              <w:t>os estándares establecidos por la</w:t>
            </w:r>
            <w:r w:rsidR="538E664E" w:rsidRPr="00703B55">
              <w:rPr>
                <w:rFonts w:ascii="Verdana" w:eastAsia="Verdana" w:hAnsi="Verdana" w:cs="Verdana"/>
                <w:sz w:val="21"/>
                <w:szCs w:val="21"/>
                <w:lang w:eastAsia="es-ES"/>
              </w:rPr>
              <w:t xml:space="preserve"> Sentencia</w:t>
            </w:r>
            <w:r w:rsidR="60001E0D" w:rsidRPr="00703B55">
              <w:rPr>
                <w:rFonts w:ascii="Verdana" w:eastAsia="Verdana" w:hAnsi="Verdana" w:cs="Verdana"/>
                <w:sz w:val="21"/>
                <w:szCs w:val="21"/>
                <w:lang w:eastAsia="es-ES"/>
              </w:rPr>
              <w:t xml:space="preserve"> T-361 de 2017, que deben ser considerados tanto en el proceso participativo como en la nueva resolución de delimitación. Estos corresponden a: i) el proceso de delimitación, orientado a discutir la delimitación del complejo bajo el principio de que cualquier modificación debe mantener o incrementar el nivel de protección del ecosistema; </w:t>
            </w:r>
            <w:proofErr w:type="spellStart"/>
            <w:r w:rsidR="60001E0D" w:rsidRPr="00703B55">
              <w:rPr>
                <w:rFonts w:ascii="Verdana" w:eastAsia="Verdana" w:hAnsi="Verdana" w:cs="Verdana"/>
                <w:sz w:val="21"/>
                <w:szCs w:val="21"/>
                <w:lang w:eastAsia="es-ES"/>
              </w:rPr>
              <w:t>ii</w:t>
            </w:r>
            <w:proofErr w:type="spellEnd"/>
            <w:r w:rsidR="60001E0D" w:rsidRPr="00703B55">
              <w:rPr>
                <w:rFonts w:ascii="Verdana" w:eastAsia="Verdana" w:hAnsi="Verdana" w:cs="Verdana"/>
                <w:sz w:val="21"/>
                <w:szCs w:val="21"/>
                <w:lang w:eastAsia="es-ES"/>
              </w:rPr>
              <w:t xml:space="preserve">) los lineamientos para los programas de reconversión y sustitución de actividades prohibidas en territorio de páramo; </w:t>
            </w:r>
            <w:proofErr w:type="spellStart"/>
            <w:r w:rsidR="60001E0D" w:rsidRPr="00703B55">
              <w:rPr>
                <w:rFonts w:ascii="Verdana" w:eastAsia="Verdana" w:hAnsi="Verdana" w:cs="Verdana"/>
                <w:sz w:val="21"/>
                <w:szCs w:val="21"/>
                <w:lang w:eastAsia="es-ES"/>
              </w:rPr>
              <w:t>iii</w:t>
            </w:r>
            <w:proofErr w:type="spellEnd"/>
            <w:r w:rsidR="60001E0D" w:rsidRPr="00703B55">
              <w:rPr>
                <w:rFonts w:ascii="Verdana" w:eastAsia="Verdana" w:hAnsi="Verdana" w:cs="Verdana"/>
                <w:sz w:val="21"/>
                <w:szCs w:val="21"/>
                <w:lang w:eastAsia="es-ES"/>
              </w:rPr>
              <w:t xml:space="preserve">) el sistema de fiscalización de la gestión de la resolución, enfocado en los mecanismos de seguimiento, control y cumplimiento de las disposiciones adoptadas; </w:t>
            </w:r>
            <w:proofErr w:type="spellStart"/>
            <w:r w:rsidR="60001E0D" w:rsidRPr="00703B55">
              <w:rPr>
                <w:rFonts w:ascii="Verdana" w:eastAsia="Verdana" w:hAnsi="Verdana" w:cs="Verdana"/>
                <w:sz w:val="21"/>
                <w:szCs w:val="21"/>
                <w:lang w:eastAsia="es-ES"/>
              </w:rPr>
              <w:t>iv</w:t>
            </w:r>
            <w:proofErr w:type="spellEnd"/>
            <w:r w:rsidR="60001E0D" w:rsidRPr="00703B55">
              <w:rPr>
                <w:rFonts w:ascii="Verdana" w:eastAsia="Verdana" w:hAnsi="Verdana" w:cs="Verdana"/>
                <w:sz w:val="21"/>
                <w:szCs w:val="21"/>
                <w:lang w:eastAsia="es-ES"/>
              </w:rPr>
              <w:t xml:space="preserve">) los parámetros de protección de las fuentes hídricas, en consideración </w:t>
            </w:r>
            <w:r w:rsidR="17CB3E57" w:rsidRPr="00703B55">
              <w:rPr>
                <w:rFonts w:ascii="Verdana" w:eastAsia="Verdana" w:hAnsi="Verdana" w:cs="Verdana"/>
                <w:sz w:val="21"/>
                <w:szCs w:val="21"/>
                <w:lang w:eastAsia="es-ES"/>
              </w:rPr>
              <w:t>a la importancia del páramo para la regulación del recurso hídrico; v) la coordinación y gestión entre autoridades y actores del territorio mediante una instancia permanente de articulación; y vi) el modelo de financiación, destinado a identificar mecanismos que garantizan la sostenibilidad económica de la gestión integral del ecosistema.</w:t>
            </w:r>
          </w:p>
          <w:p w14:paraId="73E659E7" w14:textId="3A734674" w:rsidR="086CF79C" w:rsidRPr="00703B55" w:rsidRDefault="086CF79C" w:rsidP="086CF79C">
            <w:pPr>
              <w:pStyle w:val="Listavistosa-nfasis11"/>
              <w:spacing w:line="240" w:lineRule="auto"/>
              <w:ind w:left="0"/>
              <w:jc w:val="both"/>
              <w:rPr>
                <w:rFonts w:ascii="Verdana" w:eastAsia="Verdana" w:hAnsi="Verdana" w:cs="Verdana"/>
                <w:sz w:val="21"/>
                <w:szCs w:val="21"/>
                <w:lang w:eastAsia="es-ES"/>
              </w:rPr>
            </w:pPr>
          </w:p>
          <w:p w14:paraId="5274D5AA" w14:textId="6F8FEC6B" w:rsidR="41B5F54F" w:rsidRPr="00703B55" w:rsidRDefault="41B5F54F" w:rsidP="00EA3808">
            <w:pPr>
              <w:spacing w:line="300" w:lineRule="auto"/>
              <w:jc w:val="both"/>
              <w:rPr>
                <w:rFonts w:ascii="Verdana" w:eastAsia="Verdana" w:hAnsi="Verdana" w:cs="Verdana"/>
                <w:sz w:val="21"/>
                <w:szCs w:val="21"/>
                <w:lang w:val="es-CO"/>
              </w:rPr>
            </w:pPr>
            <w:r w:rsidRPr="00703B55">
              <w:rPr>
                <w:rFonts w:ascii="Verdana" w:eastAsia="Verdana" w:hAnsi="Verdana" w:cs="Verdana"/>
                <w:sz w:val="21"/>
                <w:szCs w:val="21"/>
                <w:lang w:val="es-CO"/>
              </w:rPr>
              <w:t>En cumplimiento de la Sentencia T-361 de 2017, la Corte Constitucional ordenó al Ministerio de Ambiente y Desarrollo Sostenible adelantar un procedimiento previo, amplio, participativo, eficaz y deliberativo para la expedición de un nuevo acto administrativo de delimitación del Complejo de Páramos Jurisdicciones–Santurbán–Berlín, proceso que comprende la participación de cuarenta (40) municipios vinculados territorial y funcionalmente al ecosistema, incluyendo tanto municipios con área de páramo como municipios beneficiarios de los servicios ecosistémicos asociados, especialmente del recurso hídrico. En atención a dicha orden, el Ministerio inició en 2018 el desarrollo de las fases de convocatoria, información, consulta e iniciativa y concertación previstas por la providencia judicial. Como resultado de los avances alcanzados en el proceso participativo, a la fecha se ha culminado la concertación de los seis (6) temas ineludibles en veintiocho (28) municipios, de los cuales diecinueve (19) corresponden a municipios con área de páramo y nueve (9) a municipios beneficiarios de los servicios ecosistémicos del Complejo de Páramos Jurisdicciones–Santurbán–Berlín. Este nivel de avance permite la expedición de la presente delimitación progresiva respecto de los municipios que han culminado las etapas requeridas, sin perjuicio de la continuidad del proceso participativo en los municipios restantes y de la incorporación sucesiva de sus resultados en futuras decisiones de delimitación progresiva.</w:t>
            </w:r>
            <w:r w:rsidR="64C6AEDF" w:rsidRPr="00703B55">
              <w:rPr>
                <w:rFonts w:ascii="Verdana" w:eastAsia="Verdana" w:hAnsi="Verdana" w:cs="Verdana"/>
                <w:sz w:val="21"/>
                <w:szCs w:val="21"/>
                <w:lang w:val="es-CO"/>
              </w:rPr>
              <w:t xml:space="preserve"> Tal como se muestra a continuación: </w:t>
            </w:r>
          </w:p>
          <w:p w14:paraId="09D3472B" w14:textId="73213F38" w:rsidR="086CF79C" w:rsidRPr="00EA3808" w:rsidRDefault="086CF79C" w:rsidP="086CF79C">
            <w:pPr>
              <w:spacing w:line="300" w:lineRule="auto"/>
              <w:rPr>
                <w:rFonts w:ascii="Verdana" w:eastAsia="Verdana" w:hAnsi="Verdana" w:cs="Verdana"/>
                <w:sz w:val="22"/>
                <w:szCs w:val="22"/>
                <w:lang w:val="es-CO"/>
              </w:rPr>
            </w:pPr>
          </w:p>
          <w:p w14:paraId="307E3E40" w14:textId="0A803753" w:rsidR="64C6AEDF" w:rsidRPr="00EA3808" w:rsidRDefault="64C6AEDF" w:rsidP="00703B55">
            <w:pPr>
              <w:spacing w:line="300" w:lineRule="auto"/>
              <w:jc w:val="center"/>
              <w:rPr>
                <w:rFonts w:ascii="Verdana" w:hAnsi="Verdana"/>
              </w:rPr>
            </w:pPr>
            <w:r w:rsidRPr="00EA3808">
              <w:rPr>
                <w:rFonts w:ascii="Verdana" w:hAnsi="Verdana"/>
                <w:noProof/>
              </w:rPr>
              <w:lastRenderedPageBreak/>
              <w:drawing>
                <wp:inline distT="0" distB="0" distL="0" distR="0" wp14:anchorId="438B13FE" wp14:editId="64CF4A97">
                  <wp:extent cx="4838700" cy="6715125"/>
                  <wp:effectExtent l="0" t="0" r="0" b="0"/>
                  <wp:docPr id="19857622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762295" name="Picture 1985762295"/>
                          <pic:cNvPicPr/>
                        </pic:nvPicPr>
                        <pic:blipFill>
                          <a:blip r:embed="rId13">
                            <a:extLst>
                              <a:ext uri="{28A0092B-C50C-407E-A947-70E740481C1C}">
                                <a14:useLocalDpi xmlns:a14="http://schemas.microsoft.com/office/drawing/2010/main"/>
                              </a:ext>
                            </a:extLst>
                          </a:blip>
                          <a:stretch>
                            <a:fillRect/>
                          </a:stretch>
                        </pic:blipFill>
                        <pic:spPr>
                          <a:xfrm>
                            <a:off x="0" y="0"/>
                            <a:ext cx="4838700" cy="6715125"/>
                          </a:xfrm>
                          <a:prstGeom prst="rect">
                            <a:avLst/>
                          </a:prstGeom>
                        </pic:spPr>
                      </pic:pic>
                    </a:graphicData>
                  </a:graphic>
                </wp:inline>
              </w:drawing>
            </w:r>
          </w:p>
          <w:p w14:paraId="54CD7D5D" w14:textId="6E8411A8" w:rsidR="086CF79C" w:rsidRPr="00EA3808" w:rsidRDefault="086CF79C" w:rsidP="086CF79C">
            <w:pPr>
              <w:spacing w:line="300" w:lineRule="auto"/>
              <w:rPr>
                <w:rFonts w:ascii="Verdana" w:eastAsia="Verdana" w:hAnsi="Verdana" w:cs="Verdana"/>
                <w:sz w:val="22"/>
                <w:szCs w:val="22"/>
                <w:lang w:val="es-CO"/>
              </w:rPr>
            </w:pPr>
          </w:p>
          <w:p w14:paraId="544E4F63" w14:textId="329EAAAE" w:rsidR="086CF79C" w:rsidRPr="00EA3808" w:rsidRDefault="086CF79C" w:rsidP="086CF79C">
            <w:pPr>
              <w:spacing w:line="300" w:lineRule="auto"/>
              <w:rPr>
                <w:rFonts w:ascii="Verdana" w:eastAsia="Verdana" w:hAnsi="Verdana" w:cs="Verdana"/>
                <w:sz w:val="22"/>
                <w:szCs w:val="22"/>
                <w:lang w:val="es-CO"/>
              </w:rPr>
            </w:pPr>
          </w:p>
          <w:p w14:paraId="13CFEF16" w14:textId="532BEEF9" w:rsidR="086CF79C" w:rsidRPr="00EA3808" w:rsidRDefault="086CF79C" w:rsidP="086CF79C">
            <w:pPr>
              <w:pStyle w:val="Listavistosa-nfasis11"/>
              <w:spacing w:line="240" w:lineRule="auto"/>
              <w:ind w:left="0"/>
              <w:jc w:val="both"/>
              <w:rPr>
                <w:rFonts w:ascii="Verdana" w:hAnsi="Verdana" w:cs="Arial"/>
                <w:color w:val="000000" w:themeColor="text1"/>
              </w:rPr>
            </w:pPr>
          </w:p>
          <w:p w14:paraId="070668D1" w14:textId="0D027F76" w:rsidR="629CA34C" w:rsidRPr="00703B55" w:rsidRDefault="629CA34C" w:rsidP="086CF79C">
            <w:pPr>
              <w:spacing w:before="210" w:after="210" w:line="300" w:lineRule="auto"/>
              <w:jc w:val="both"/>
              <w:rPr>
                <w:rFonts w:ascii="Verdana" w:eastAsia="Verdana" w:hAnsi="Verdana" w:cs="Verdana"/>
                <w:sz w:val="21"/>
                <w:szCs w:val="21"/>
                <w:lang w:val="es-CO"/>
              </w:rPr>
            </w:pPr>
            <w:r w:rsidRPr="00703B55">
              <w:rPr>
                <w:rFonts w:ascii="Verdana" w:eastAsia="Verdana" w:hAnsi="Verdana" w:cs="Verdana"/>
                <w:sz w:val="21"/>
                <w:szCs w:val="21"/>
                <w:lang w:val="es-CO"/>
              </w:rPr>
              <w:lastRenderedPageBreak/>
              <w:t xml:space="preserve">La </w:t>
            </w:r>
            <w:r w:rsidR="4E708CE2" w:rsidRPr="00703B55">
              <w:rPr>
                <w:rFonts w:ascii="Verdana" w:eastAsia="Verdana" w:hAnsi="Verdana" w:cs="Verdana"/>
                <w:sz w:val="21"/>
                <w:szCs w:val="21"/>
                <w:lang w:val="es-CO"/>
              </w:rPr>
              <w:t>expedición del presente</w:t>
            </w:r>
            <w:r w:rsidRPr="00703B55">
              <w:rPr>
                <w:rFonts w:ascii="Verdana" w:eastAsia="Verdana" w:hAnsi="Verdana" w:cs="Verdana"/>
                <w:sz w:val="21"/>
                <w:szCs w:val="21"/>
                <w:lang w:val="es-CO"/>
              </w:rPr>
              <w:t xml:space="preserve"> acto administrativo se sustenta</w:t>
            </w:r>
            <w:r w:rsidR="58E3B901" w:rsidRPr="00703B55">
              <w:rPr>
                <w:rFonts w:ascii="Verdana" w:eastAsia="Verdana" w:hAnsi="Verdana" w:cs="Verdana"/>
                <w:sz w:val="21"/>
                <w:szCs w:val="21"/>
                <w:lang w:val="es-CO"/>
              </w:rPr>
              <w:t xml:space="preserve"> en la Ley 1450 de 2011 Art. 202</w:t>
            </w:r>
            <w:r w:rsidRPr="00703B55">
              <w:rPr>
                <w:rFonts w:ascii="Verdana" w:eastAsia="Verdana" w:hAnsi="Verdana" w:cs="Verdana"/>
                <w:sz w:val="21"/>
                <w:szCs w:val="21"/>
                <w:lang w:val="es-CO"/>
              </w:rPr>
              <w:t xml:space="preserve">, además, en la necesidad de dar cumplimiento a los requerimientos efectuados por el Tribunal Administrativo de Santander en el marco del seguimiento judicial al cumplimiento de la Sentencia T-361 de 2017, así como en las observaciones formuladas por la Procuraduría General de la Nación y la Defensoría del Pueblo, entidades que han advertido la importancia de materializar avances verificables en la delimitación del páramo y evitar dilaciones que puedan comprometer la protección efectiva de este ecosistema estratégico. </w:t>
            </w:r>
          </w:p>
          <w:p w14:paraId="3CA1DCFC" w14:textId="3E26AD92" w:rsidR="008D55D1" w:rsidRPr="00703B55" w:rsidRDefault="629CA34C" w:rsidP="4095ADAA">
            <w:pPr>
              <w:spacing w:before="210" w:after="210" w:line="300" w:lineRule="auto"/>
              <w:jc w:val="both"/>
              <w:rPr>
                <w:rFonts w:ascii="Verdana" w:eastAsia="Verdana" w:hAnsi="Verdana" w:cs="Verdana"/>
                <w:sz w:val="21"/>
                <w:szCs w:val="21"/>
                <w:lang w:val="es-CO"/>
              </w:rPr>
            </w:pPr>
            <w:r w:rsidRPr="00703B55">
              <w:rPr>
                <w:rFonts w:ascii="Verdana" w:eastAsia="Verdana" w:hAnsi="Verdana" w:cs="Verdana"/>
                <w:sz w:val="21"/>
                <w:szCs w:val="21"/>
                <w:lang w:val="es-CO"/>
              </w:rPr>
              <w:t>Desde el punto de vista ambiental, la expedición de la resolución resulta necesaria y conveniente debido a la importancia ecológica, hídrica y climática del Complejo de Páramos Jurisdicciones–Santurbán–Berlín, considerado uno de los ecosistemas estratégicos más relevantes del país. Este complejo abastece de agua a más de 2,5 millones de personas en los departamentos de Santander y Norte de Santander, provee soporte a actividades agrícolas, industriales y energéticas, contribuye a la regulación hídrica regional y alberga una importante diversidad biológica con altos niveles de endemismo. La evidencia científica disponible demuestra que</w:t>
            </w:r>
            <w:r w:rsidR="5352E335" w:rsidRPr="00703B55">
              <w:rPr>
                <w:rFonts w:ascii="Verdana" w:eastAsia="Verdana" w:hAnsi="Verdana" w:cs="Verdana"/>
                <w:sz w:val="21"/>
                <w:szCs w:val="21"/>
                <w:lang w:val="es-CO"/>
              </w:rPr>
              <w:t xml:space="preserve"> </w:t>
            </w:r>
            <w:r w:rsidR="1315466C" w:rsidRPr="00703B55">
              <w:rPr>
                <w:rFonts w:ascii="Verdana" w:eastAsia="Verdana" w:hAnsi="Verdana" w:cs="Verdana"/>
                <w:sz w:val="21"/>
                <w:szCs w:val="21"/>
                <w:lang w:val="es-CO"/>
              </w:rPr>
              <w:t>pueden deben</w:t>
            </w:r>
            <w:r w:rsidR="00703B55">
              <w:rPr>
                <w:rFonts w:ascii="Verdana" w:eastAsia="Verdana" w:hAnsi="Verdana" w:cs="Verdana"/>
                <w:sz w:val="21"/>
                <w:szCs w:val="21"/>
                <w:lang w:val="es-CO"/>
              </w:rPr>
              <w:t xml:space="preserve"> </w:t>
            </w:r>
            <w:r w:rsidR="5352E335" w:rsidRPr="00703B55">
              <w:rPr>
                <w:rFonts w:ascii="Verdana" w:eastAsia="Verdana" w:hAnsi="Verdana" w:cs="Verdana"/>
                <w:sz w:val="21"/>
                <w:szCs w:val="21"/>
                <w:lang w:val="es-CO"/>
              </w:rPr>
              <w:t xml:space="preserve">desarrollarse actividades de bajo impacto y aquellas </w:t>
            </w:r>
            <w:r w:rsidRPr="00703B55">
              <w:rPr>
                <w:rFonts w:ascii="Verdana" w:eastAsia="Verdana" w:hAnsi="Verdana" w:cs="Verdana"/>
                <w:sz w:val="21"/>
                <w:szCs w:val="21"/>
                <w:lang w:val="es-CO"/>
              </w:rPr>
              <w:t>de alto impacto pueden afectar gravemente la capacidad del páramo para prestar estos servicios ecosistémicos esenciales, razón por la cual resulta imperativo adoptar medidas de protección oportunas y eficaces.</w:t>
            </w:r>
          </w:p>
          <w:p w14:paraId="2A7AA590" w14:textId="4EE4A099" w:rsidR="008D55D1" w:rsidRPr="00703B55" w:rsidRDefault="629CA34C" w:rsidP="4095ADAA">
            <w:pPr>
              <w:spacing w:before="210" w:after="210" w:line="300" w:lineRule="auto"/>
              <w:jc w:val="both"/>
              <w:rPr>
                <w:rFonts w:ascii="Verdana" w:eastAsia="Verdana" w:hAnsi="Verdana" w:cs="Verdana"/>
                <w:sz w:val="21"/>
                <w:szCs w:val="21"/>
                <w:lang w:val="es-CO"/>
              </w:rPr>
            </w:pPr>
            <w:r w:rsidRPr="00703B55">
              <w:rPr>
                <w:rFonts w:ascii="Verdana" w:eastAsia="Verdana" w:hAnsi="Verdana" w:cs="Verdana"/>
                <w:sz w:val="21"/>
                <w:szCs w:val="21"/>
                <w:lang w:val="es-CO"/>
              </w:rPr>
              <w:t xml:space="preserve">Adicionalmente, la delimitación progresiva constituye una medida idónea para garantizar la aplicación efectiva del principio de precaución y evitar escenarios de incertidumbre jurídica en aquellos municipios donde ya se han agotado las actuaciones técnicas y participativas exigidas por la normativa y la jurisprudencia. Esta medida permite avanzar en la consolidación de la protección ambiental del páramo sin fragmentar el ecosistema ni afectar la participación de las comunidades de los municipios en los cuales el proceso continúa en desarrollo, preservando la visión integral del complejo paramuno y manteniendo el estándar de protección ambiental exigido por la Corte Constitucional y la Ley 1930 de 2018. </w:t>
            </w:r>
          </w:p>
          <w:p w14:paraId="30D72A44" w14:textId="5DF9EEBE" w:rsidR="4BFD5CB6" w:rsidRPr="00703B55" w:rsidRDefault="4BFD5CB6" w:rsidP="00703B55">
            <w:pPr>
              <w:spacing w:before="210" w:after="210" w:line="300" w:lineRule="auto"/>
              <w:jc w:val="both"/>
              <w:rPr>
                <w:rFonts w:ascii="Verdana" w:eastAsia="Verdana" w:hAnsi="Verdana" w:cs="Verdana"/>
                <w:sz w:val="21"/>
                <w:szCs w:val="21"/>
                <w:lang w:val="es-CO"/>
              </w:rPr>
            </w:pPr>
            <w:r w:rsidRPr="00703B55">
              <w:rPr>
                <w:rFonts w:ascii="Verdana" w:eastAsia="Verdana" w:hAnsi="Verdana" w:cs="Verdana"/>
                <w:sz w:val="21"/>
                <w:szCs w:val="21"/>
                <w:lang w:val="es-CO"/>
              </w:rPr>
              <w:t xml:space="preserve">En cumplimiento de la Sentencia T-361 de 2017 y una vez culminada la fase de concertación de los seis (6) temas ineludibles en los municipios que reúnen las condiciones para la expedición de la presente delimitación progresiva, el Ministerio de Ambiente y Desarrollo Sostenible realizó un proceso de armonización e integración de los acuerdos, consensos, observaciones y propuestas surgidos de los diferentes escenarios participativos territoriales. Este ejercicio tuvo como propósito consolidar una visión integral del Complejo de Páramos Jurisdicciones–Santurbán–Berlín, garantizando la coherencia entre los componentes técnicos, científicos, ambientales, sociales y jurídicos que soportan la presente decisión administrativa. En desarrollo de dicho proceso, los acuerdos alcanzados fueron analizados de manera conjunta y sistemática, valorando su compatibilidad con los principios de protección reforzada de los ecosistemas de páramo, no regresión ambiental, precaución e </w:t>
            </w:r>
            <w:r w:rsidRPr="00703B55">
              <w:rPr>
                <w:rFonts w:ascii="Verdana" w:eastAsia="Verdana" w:hAnsi="Verdana" w:cs="Verdana"/>
                <w:sz w:val="21"/>
                <w:szCs w:val="21"/>
                <w:lang w:val="es-CO"/>
              </w:rPr>
              <w:lastRenderedPageBreak/>
              <w:t>integralidad ecosistémica, así como con las disposiciones legales y jurisprudenciales aplicables. Lo anterior permitió estructurar las determinaciones incorporadas en este acto administrativo de delimitación progresiva, preservando el carácter incidente de la participación ciudadana y garantizando, a su vez, la continuidad del proceso participativo respecto de los municipios que aún no han culminado las etapas previstas para la adopción de futuras delimitaciones progresivas.</w:t>
            </w:r>
            <w:r w:rsidR="5BB70C2B" w:rsidRPr="00703B55">
              <w:rPr>
                <w:rFonts w:ascii="Verdana" w:eastAsia="Verdana" w:hAnsi="Verdana" w:cs="Verdana"/>
                <w:sz w:val="21"/>
                <w:szCs w:val="21"/>
                <w:lang w:val="es-CO"/>
              </w:rPr>
              <w:t xml:space="preserve"> (Ver Anexo. Matriz preliminar acuerdos concertaciones CPJSB – Carpeta Matrices Complementarias)</w:t>
            </w:r>
          </w:p>
          <w:p w14:paraId="16B5AB9E" w14:textId="2129C88F" w:rsidR="008D55D1" w:rsidRPr="00703B55" w:rsidRDefault="629CA34C" w:rsidP="4095ADAA">
            <w:pPr>
              <w:spacing w:before="210" w:after="210" w:line="300" w:lineRule="auto"/>
              <w:jc w:val="both"/>
              <w:rPr>
                <w:rFonts w:ascii="Verdana" w:eastAsia="Verdana" w:hAnsi="Verdana" w:cs="Verdana"/>
                <w:sz w:val="21"/>
                <w:szCs w:val="21"/>
                <w:lang w:val="es-CO"/>
              </w:rPr>
            </w:pPr>
            <w:r w:rsidRPr="00703B55">
              <w:rPr>
                <w:rFonts w:ascii="Verdana" w:eastAsia="Verdana" w:hAnsi="Verdana" w:cs="Verdana"/>
                <w:sz w:val="21"/>
                <w:szCs w:val="21"/>
                <w:lang w:val="es-CO"/>
              </w:rPr>
              <w:t xml:space="preserve">Finalmente, la presente actuación administrativa responde al deber constitucional del Estado de proteger las áreas de especial importancia ecológica, garantizar el derecho colectivo a un ambiente sano y asegurar la conservación de las fuentes hídricas estratégicas para las generaciones presentes y futuras. En consecuencia, la delimitación progresiva adoptada mediante este acto constituye una medida necesaria, proporcional y conveniente para fortalecer la gobernanza ambiental, asegurar la conservación del ecosistema de páramo y materializar los avances alcanzados dentro del proceso participativo adelantado en cumplimiento de la Sentencia T-361 de 2017. </w:t>
            </w:r>
          </w:p>
          <w:p w14:paraId="3DD1AA41" w14:textId="5D769D00" w:rsidR="008D55D1" w:rsidRPr="00EA3808" w:rsidRDefault="008D55D1" w:rsidP="4095ADAA">
            <w:pPr>
              <w:pStyle w:val="Listavistosa-nfasis11"/>
              <w:spacing w:line="240" w:lineRule="auto"/>
              <w:ind w:left="0"/>
              <w:jc w:val="both"/>
              <w:rPr>
                <w:rFonts w:ascii="Verdana" w:hAnsi="Verdana" w:cs="Arial"/>
                <w:color w:val="000000"/>
              </w:rPr>
            </w:pPr>
          </w:p>
        </w:tc>
      </w:tr>
      <w:tr w:rsidR="00DF60FD" w:rsidRPr="00EA3808" w14:paraId="103D0B35" w14:textId="77777777" w:rsidTr="086CF79C">
        <w:trPr>
          <w:trHeight w:val="47"/>
        </w:trPr>
        <w:tc>
          <w:tcPr>
            <w:tcW w:w="10774" w:type="dxa"/>
            <w:gridSpan w:val="3"/>
            <w:shd w:val="clear" w:color="auto" w:fill="FFFFFF" w:themeFill="background1"/>
            <w:vAlign w:val="center"/>
          </w:tcPr>
          <w:p w14:paraId="35A76245" w14:textId="598BDCE4" w:rsidR="00251FCE" w:rsidRPr="00EA3808" w:rsidRDefault="00251FCE" w:rsidP="00EA3808">
            <w:pPr>
              <w:jc w:val="both"/>
              <w:rPr>
                <w:rFonts w:ascii="Verdana" w:hAnsi="Verdana" w:cs="Arial"/>
                <w:color w:val="000000" w:themeColor="text1"/>
              </w:rPr>
            </w:pPr>
          </w:p>
          <w:p w14:paraId="770B86BD" w14:textId="36B36CB1" w:rsidR="00251FCE" w:rsidRPr="00EA3808" w:rsidRDefault="00251FCE" w:rsidP="0075705D">
            <w:pPr>
              <w:jc w:val="both"/>
              <w:rPr>
                <w:rFonts w:ascii="Verdana" w:hAnsi="Verdana"/>
                <w:lang w:eastAsia="es-CO"/>
              </w:rPr>
            </w:pPr>
          </w:p>
        </w:tc>
      </w:tr>
      <w:tr w:rsidR="00DF60FD" w:rsidRPr="00EA3808" w14:paraId="1A7FF080" w14:textId="77777777" w:rsidTr="086CF79C">
        <w:trPr>
          <w:trHeight w:val="66"/>
        </w:trPr>
        <w:tc>
          <w:tcPr>
            <w:tcW w:w="10774" w:type="dxa"/>
            <w:gridSpan w:val="3"/>
            <w:tcBorders>
              <w:top w:val="single" w:sz="4" w:space="0" w:color="auto"/>
              <w:bottom w:val="single" w:sz="4" w:space="0" w:color="auto"/>
            </w:tcBorders>
            <w:shd w:val="clear" w:color="auto" w:fill="FFFFFF" w:themeFill="background1"/>
            <w:vAlign w:val="center"/>
          </w:tcPr>
          <w:p w14:paraId="10E39E30" w14:textId="77777777" w:rsidR="00DF60FD" w:rsidRPr="00EA3808" w:rsidRDefault="00DF60FD" w:rsidP="005B25BE">
            <w:pPr>
              <w:numPr>
                <w:ilvl w:val="0"/>
                <w:numId w:val="2"/>
              </w:numPr>
              <w:rPr>
                <w:rFonts w:ascii="Verdana" w:hAnsi="Verdana" w:cs="Arial"/>
                <w:b/>
                <w:color w:val="000000"/>
                <w:sz w:val="22"/>
                <w:szCs w:val="22"/>
              </w:rPr>
            </w:pPr>
            <w:r w:rsidRPr="00EA3808">
              <w:rPr>
                <w:rFonts w:ascii="Verdana" w:hAnsi="Verdana" w:cs="Arial"/>
                <w:b/>
                <w:color w:val="000000"/>
                <w:sz w:val="22"/>
                <w:szCs w:val="22"/>
              </w:rPr>
              <w:t>AMBITO DE APLICACIÓN Y SUJETO</w:t>
            </w:r>
            <w:r w:rsidR="00795C6B" w:rsidRPr="00EA3808">
              <w:rPr>
                <w:rFonts w:ascii="Verdana" w:hAnsi="Verdana" w:cs="Arial"/>
                <w:b/>
                <w:color w:val="000000"/>
                <w:sz w:val="22"/>
                <w:szCs w:val="22"/>
              </w:rPr>
              <w:t>S</w:t>
            </w:r>
            <w:r w:rsidRPr="00EA3808">
              <w:rPr>
                <w:rFonts w:ascii="Verdana" w:hAnsi="Verdana" w:cs="Arial"/>
                <w:b/>
                <w:color w:val="000000"/>
                <w:sz w:val="22"/>
                <w:szCs w:val="22"/>
              </w:rPr>
              <w:t xml:space="preserve"> A QUIEN</w:t>
            </w:r>
            <w:r w:rsidR="00795C6B" w:rsidRPr="00EA3808">
              <w:rPr>
                <w:rFonts w:ascii="Verdana" w:hAnsi="Verdana" w:cs="Arial"/>
                <w:b/>
                <w:color w:val="000000"/>
                <w:sz w:val="22"/>
                <w:szCs w:val="22"/>
              </w:rPr>
              <w:t>ES</w:t>
            </w:r>
            <w:r w:rsidRPr="00EA3808">
              <w:rPr>
                <w:rFonts w:ascii="Verdana" w:hAnsi="Verdana" w:cs="Arial"/>
                <w:b/>
                <w:color w:val="000000"/>
                <w:sz w:val="22"/>
                <w:szCs w:val="22"/>
              </w:rPr>
              <w:t xml:space="preserve"> VA DIRIGIDO</w:t>
            </w:r>
          </w:p>
          <w:p w14:paraId="0738582E" w14:textId="77777777" w:rsidR="00795C6B" w:rsidRPr="00EA3808" w:rsidRDefault="00696582" w:rsidP="001A1E25">
            <w:pPr>
              <w:pStyle w:val="Listavistosa-nfasis11"/>
              <w:spacing w:line="240" w:lineRule="auto"/>
              <w:ind w:left="494"/>
              <w:jc w:val="both"/>
              <w:rPr>
                <w:rFonts w:ascii="Verdana" w:hAnsi="Verdana" w:cs="Arial"/>
                <w:i/>
                <w:color w:val="808080"/>
                <w:sz w:val="18"/>
              </w:rPr>
            </w:pPr>
            <w:r w:rsidRPr="00EA3808">
              <w:rPr>
                <w:rFonts w:ascii="Verdana" w:hAnsi="Verdana" w:cs="Arial"/>
                <w:i/>
                <w:color w:val="808080"/>
                <w:sz w:val="18"/>
              </w:rPr>
              <w:t xml:space="preserve"> </w:t>
            </w:r>
            <w:r w:rsidR="00795C6B" w:rsidRPr="00EA3808">
              <w:rPr>
                <w:rFonts w:ascii="Verdana" w:hAnsi="Verdana" w:cs="Arial"/>
                <w:i/>
                <w:color w:val="808080"/>
                <w:sz w:val="18"/>
              </w:rPr>
              <w:t>(Por favor indique el ámbito de aplicación o sujetos obligados de la norma)</w:t>
            </w:r>
          </w:p>
          <w:p w14:paraId="179B8DCB" w14:textId="77777777" w:rsidR="00DC5FA9" w:rsidRPr="00EA3808" w:rsidRDefault="00DC5FA9" w:rsidP="00DC5FA9">
            <w:pPr>
              <w:pBdr>
                <w:top w:val="nil"/>
                <w:left w:val="nil"/>
                <w:bottom w:val="nil"/>
                <w:right w:val="nil"/>
                <w:between w:val="nil"/>
              </w:pBdr>
              <w:spacing w:before="1"/>
              <w:ind w:left="83"/>
              <w:jc w:val="both"/>
              <w:rPr>
                <w:rFonts w:ascii="Verdana" w:hAnsi="Verdana"/>
                <w:sz w:val="22"/>
                <w:szCs w:val="22"/>
              </w:rPr>
            </w:pPr>
            <w:r w:rsidRPr="00EA3808">
              <w:rPr>
                <w:rFonts w:ascii="Verdana" w:hAnsi="Verdana"/>
                <w:sz w:val="22"/>
                <w:szCs w:val="22"/>
              </w:rPr>
              <w:t>Ministerio de Ambiente y Desarrollo Sostenible</w:t>
            </w:r>
          </w:p>
          <w:p w14:paraId="459B573F" w14:textId="77777777" w:rsidR="00DC5FA9" w:rsidRPr="00EA3808" w:rsidRDefault="00DC5FA9" w:rsidP="00DC5FA9">
            <w:pPr>
              <w:pBdr>
                <w:top w:val="nil"/>
                <w:left w:val="nil"/>
                <w:bottom w:val="nil"/>
                <w:right w:val="nil"/>
                <w:between w:val="nil"/>
              </w:pBdr>
              <w:spacing w:before="1"/>
              <w:ind w:left="83"/>
              <w:jc w:val="both"/>
              <w:rPr>
                <w:rFonts w:ascii="Verdana" w:hAnsi="Verdana"/>
                <w:sz w:val="22"/>
                <w:szCs w:val="22"/>
              </w:rPr>
            </w:pPr>
            <w:r w:rsidRPr="00EA3808">
              <w:rPr>
                <w:rFonts w:ascii="Verdana" w:hAnsi="Verdana"/>
                <w:sz w:val="22"/>
                <w:szCs w:val="22"/>
              </w:rPr>
              <w:t>Ministerio de Agricultura y Desarrollo Rural</w:t>
            </w:r>
          </w:p>
          <w:p w14:paraId="736EF60F" w14:textId="77777777" w:rsidR="00DC5FA9" w:rsidRPr="00EA3808" w:rsidRDefault="00DC5FA9" w:rsidP="00DC5FA9">
            <w:pPr>
              <w:pBdr>
                <w:top w:val="nil"/>
                <w:left w:val="nil"/>
                <w:bottom w:val="nil"/>
                <w:right w:val="nil"/>
                <w:between w:val="nil"/>
              </w:pBdr>
              <w:spacing w:before="1"/>
              <w:ind w:left="83"/>
              <w:jc w:val="both"/>
              <w:rPr>
                <w:rFonts w:ascii="Verdana" w:hAnsi="Verdana"/>
                <w:sz w:val="22"/>
                <w:szCs w:val="22"/>
              </w:rPr>
            </w:pPr>
            <w:r w:rsidRPr="00EA3808">
              <w:rPr>
                <w:rFonts w:ascii="Verdana" w:hAnsi="Verdana"/>
                <w:sz w:val="22"/>
                <w:szCs w:val="22"/>
              </w:rPr>
              <w:t xml:space="preserve">Ministerio de Minas y Energía </w:t>
            </w:r>
          </w:p>
          <w:p w14:paraId="02E2860E" w14:textId="77777777" w:rsidR="00DC5FA9" w:rsidRPr="00EA3808" w:rsidRDefault="00DC5FA9" w:rsidP="00DC5FA9">
            <w:pPr>
              <w:pBdr>
                <w:top w:val="nil"/>
                <w:left w:val="nil"/>
                <w:bottom w:val="nil"/>
                <w:right w:val="nil"/>
                <w:between w:val="nil"/>
              </w:pBdr>
              <w:spacing w:before="1"/>
              <w:ind w:left="83"/>
              <w:jc w:val="both"/>
              <w:rPr>
                <w:rFonts w:ascii="Verdana" w:hAnsi="Verdana"/>
                <w:sz w:val="22"/>
                <w:szCs w:val="22"/>
              </w:rPr>
            </w:pPr>
            <w:r w:rsidRPr="00EA3808">
              <w:rPr>
                <w:rFonts w:ascii="Verdana" w:hAnsi="Verdana"/>
                <w:sz w:val="22"/>
                <w:szCs w:val="22"/>
              </w:rPr>
              <w:t>Agencia Nacional de Minería - ANM</w:t>
            </w:r>
          </w:p>
          <w:p w14:paraId="473D6A14" w14:textId="75B7DE37" w:rsidR="00DC5FA9" w:rsidRPr="00EA3808" w:rsidRDefault="63C7F579"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Agencia Nacional de Tierras</w:t>
            </w:r>
            <w:r w:rsidR="21F1340A" w:rsidRPr="00EA3808">
              <w:rPr>
                <w:rFonts w:ascii="Verdana" w:hAnsi="Verdana"/>
                <w:sz w:val="22"/>
                <w:szCs w:val="22"/>
              </w:rPr>
              <w:t xml:space="preserve"> – </w:t>
            </w:r>
            <w:r w:rsidRPr="00EA3808">
              <w:rPr>
                <w:rFonts w:ascii="Verdana" w:hAnsi="Verdana"/>
                <w:sz w:val="22"/>
                <w:szCs w:val="22"/>
              </w:rPr>
              <w:t>ANT</w:t>
            </w:r>
          </w:p>
          <w:p w14:paraId="3F9409AA" w14:textId="5D10D153" w:rsidR="21F1340A" w:rsidRPr="00EA3808" w:rsidRDefault="69046C70" w:rsidP="086CF79C">
            <w:pPr>
              <w:pBdr>
                <w:top w:val="nil"/>
                <w:left w:val="nil"/>
                <w:bottom w:val="nil"/>
                <w:right w:val="nil"/>
                <w:between w:val="nil"/>
              </w:pBdr>
              <w:spacing w:before="1"/>
              <w:ind w:left="83"/>
              <w:jc w:val="both"/>
              <w:rPr>
                <w:rFonts w:ascii="Verdana" w:hAnsi="Verdana"/>
                <w:sz w:val="22"/>
                <w:szCs w:val="22"/>
              </w:rPr>
            </w:pPr>
            <w:r w:rsidRPr="00EA3808">
              <w:rPr>
                <w:rFonts w:ascii="Verdana" w:hAnsi="Verdana"/>
                <w:sz w:val="22"/>
                <w:szCs w:val="22"/>
              </w:rPr>
              <w:t>IGAC</w:t>
            </w:r>
          </w:p>
          <w:p w14:paraId="3EF9B157" w14:textId="63849457" w:rsidR="21F1340A" w:rsidRPr="00EA3808" w:rsidRDefault="69046C70" w:rsidP="086CF79C">
            <w:pPr>
              <w:pBdr>
                <w:top w:val="nil"/>
                <w:left w:val="nil"/>
                <w:bottom w:val="nil"/>
                <w:right w:val="nil"/>
                <w:between w:val="nil"/>
              </w:pBdr>
              <w:spacing w:before="1"/>
              <w:ind w:left="83"/>
              <w:jc w:val="both"/>
              <w:rPr>
                <w:rFonts w:ascii="Verdana" w:hAnsi="Verdana"/>
                <w:sz w:val="22"/>
                <w:szCs w:val="22"/>
              </w:rPr>
            </w:pPr>
            <w:proofErr w:type="spellStart"/>
            <w:r w:rsidRPr="00EA3808">
              <w:rPr>
                <w:rFonts w:ascii="Verdana" w:hAnsi="Verdana"/>
                <w:sz w:val="22"/>
                <w:szCs w:val="22"/>
              </w:rPr>
              <w:t>Supernotariado</w:t>
            </w:r>
            <w:proofErr w:type="spellEnd"/>
          </w:p>
          <w:p w14:paraId="1A1B5471" w14:textId="77777777" w:rsidR="00DC5FA9" w:rsidRPr="00EA3808" w:rsidRDefault="63C7F579" w:rsidP="00DC5FA9">
            <w:pPr>
              <w:pBdr>
                <w:top w:val="nil"/>
                <w:left w:val="nil"/>
                <w:bottom w:val="nil"/>
                <w:right w:val="nil"/>
                <w:between w:val="nil"/>
              </w:pBdr>
              <w:spacing w:before="1"/>
              <w:ind w:left="83"/>
              <w:jc w:val="both"/>
              <w:rPr>
                <w:rFonts w:ascii="Verdana" w:hAnsi="Verdana"/>
                <w:sz w:val="22"/>
                <w:szCs w:val="22"/>
              </w:rPr>
            </w:pPr>
            <w:r w:rsidRPr="00EA3808">
              <w:rPr>
                <w:rFonts w:ascii="Verdana" w:hAnsi="Verdana"/>
                <w:sz w:val="22"/>
                <w:szCs w:val="22"/>
              </w:rPr>
              <w:t>Unidad de Planeación Rural Agropecuaria - UPRA</w:t>
            </w:r>
          </w:p>
          <w:p w14:paraId="21000B1D" w14:textId="2034662A" w:rsidR="00DC5FA9" w:rsidRPr="00EA3808" w:rsidRDefault="12A02116"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Corporación autónoma regional de la Frontera Nororiental (CORPONOR)</w:t>
            </w:r>
          </w:p>
          <w:p w14:paraId="3EAF6D8F" w14:textId="658E35DD" w:rsidR="00DC5FA9" w:rsidRPr="00EA3808" w:rsidRDefault="4E1A1FCB"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Corporación Autónoma Regional para la Defensa de la Meseta de Bucaramanga (CDMB)</w:t>
            </w:r>
          </w:p>
          <w:p w14:paraId="6FD18A02" w14:textId="2205AACB" w:rsidR="00DC5FA9" w:rsidRPr="00EA3808" w:rsidRDefault="4E1A1FCB"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Corporación Autónoma Regional de Santander (CAS)</w:t>
            </w:r>
          </w:p>
          <w:p w14:paraId="2A043376" w14:textId="3CEEA5FA" w:rsidR="00DC5FA9" w:rsidRPr="00EA3808" w:rsidRDefault="4E1A1FCB"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Gobernación del departamento de Norte de Santander (secretarias u oficinas Ambientales)</w:t>
            </w:r>
          </w:p>
          <w:p w14:paraId="507EECAC" w14:textId="08F684F4" w:rsidR="00DC5FA9" w:rsidRPr="00EA3808" w:rsidRDefault="4E1A1FCB"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Gobernación del departamento de Santander (secretarias u oficinas Ambientales)</w:t>
            </w:r>
          </w:p>
          <w:p w14:paraId="53F74C69" w14:textId="33382640" w:rsidR="00DC5FA9" w:rsidRPr="00EA3808" w:rsidRDefault="63C7F579"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Parques Nacionales de Colombia</w:t>
            </w:r>
          </w:p>
          <w:p w14:paraId="3D3A809C" w14:textId="67986219" w:rsidR="0AF2FB67" w:rsidRPr="00EA3808" w:rsidRDefault="0AF2FB67"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 California</w:t>
            </w:r>
          </w:p>
          <w:p w14:paraId="58C697D0" w14:textId="4A718D4A" w:rsidR="0AF2FB67" w:rsidRPr="00EA3808" w:rsidRDefault="0AF2FB67"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 Charta</w:t>
            </w:r>
          </w:p>
          <w:p w14:paraId="3CFC51FB" w14:textId="13ED1E8D" w:rsidR="0AF2FB67" w:rsidRPr="00EA3808" w:rsidRDefault="0AF2FB67"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 Guaca</w:t>
            </w:r>
          </w:p>
          <w:p w14:paraId="0FA17F18" w14:textId="1B00E63C" w:rsidR="0AF2FB67" w:rsidRPr="00EA3808" w:rsidRDefault="0AF2FB67"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 El Playón</w:t>
            </w:r>
          </w:p>
          <w:p w14:paraId="10E45286" w14:textId="31CB5823" w:rsidR="0AF2FB67" w:rsidRPr="00EA3808" w:rsidRDefault="0AF2FB67"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 Piedecuesta</w:t>
            </w:r>
          </w:p>
          <w:p w14:paraId="33EE4E03" w14:textId="21D49E6A" w:rsidR="0AF2FB67" w:rsidRPr="00EA3808" w:rsidRDefault="0AF2FB67"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 Matanza</w:t>
            </w:r>
          </w:p>
          <w:p w14:paraId="60494AC1" w14:textId="68124369" w:rsidR="0AF2FB67" w:rsidRPr="00EA3808" w:rsidRDefault="0AF2FB67"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lastRenderedPageBreak/>
              <w:t>Administración Municipal de Santa Bárbara</w:t>
            </w:r>
          </w:p>
          <w:p w14:paraId="4E6D5264" w14:textId="0568E9D0" w:rsidR="0AF2FB67" w:rsidRPr="00EA3808" w:rsidRDefault="0AF2FB67"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 Suratá</w:t>
            </w:r>
          </w:p>
          <w:p w14:paraId="1528B96B" w14:textId="242C82A7" w:rsidR="0AF2FB67" w:rsidRPr="00EA3808" w:rsidRDefault="0AF2FB67"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 xml:space="preserve">Administración Municipal de Tona </w:t>
            </w:r>
          </w:p>
          <w:p w14:paraId="091B8653" w14:textId="55547146" w:rsidR="0AF2FB67" w:rsidRPr="00EA3808" w:rsidRDefault="0AF2FB67"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 Vetas.</w:t>
            </w:r>
          </w:p>
          <w:p w14:paraId="051A0C3E" w14:textId="1F0F9B46" w:rsidR="0AF2FB67" w:rsidRPr="00EA3808" w:rsidRDefault="0AF2FB67"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 Bucaramanga</w:t>
            </w:r>
          </w:p>
          <w:p w14:paraId="13513E90" w14:textId="20D6E7E7" w:rsidR="0AF2FB67" w:rsidRPr="00EA3808" w:rsidRDefault="0AF2FB67"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 xml:space="preserve">Administración Municipal de Floridablanca </w:t>
            </w:r>
          </w:p>
          <w:p w14:paraId="7B58097B" w14:textId="56086828" w:rsidR="0AF2FB67" w:rsidRPr="00EA3808" w:rsidRDefault="0AF2FB67"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 xml:space="preserve">Administración Municipal de Girón.  </w:t>
            </w:r>
          </w:p>
          <w:p w14:paraId="0815D6E3" w14:textId="619E27E4" w:rsidR="0AF2FB67" w:rsidRPr="00EA3808" w:rsidRDefault="0AF2FB67"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 Ábrego</w:t>
            </w:r>
          </w:p>
          <w:p w14:paraId="70C91D85" w14:textId="65AE21A0" w:rsidR="0AF2FB67" w:rsidRPr="00EA3808" w:rsidRDefault="0AF2FB67"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 Arboledas</w:t>
            </w:r>
          </w:p>
          <w:p w14:paraId="405E3E15" w14:textId="547B6F7C" w:rsidR="0AF2FB67" w:rsidRPr="00EA3808" w:rsidRDefault="0AF2FB67"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 Bochalema</w:t>
            </w:r>
          </w:p>
          <w:p w14:paraId="7C6606F7" w14:textId="7E198330" w:rsidR="0AF2FB67" w:rsidRPr="00EA3808" w:rsidRDefault="0AF2FB67"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 xml:space="preserve">Administración Municipal de </w:t>
            </w:r>
            <w:proofErr w:type="spellStart"/>
            <w:r w:rsidRPr="00EA3808">
              <w:rPr>
                <w:rFonts w:ascii="Verdana" w:hAnsi="Verdana"/>
                <w:sz w:val="22"/>
                <w:szCs w:val="22"/>
              </w:rPr>
              <w:t>Bucarasica</w:t>
            </w:r>
            <w:proofErr w:type="spellEnd"/>
          </w:p>
          <w:p w14:paraId="43A8575F" w14:textId="082AF364" w:rsidR="5999B349" w:rsidRPr="00EA3808" w:rsidRDefault="5999B349"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w:t>
            </w:r>
            <w:r w:rsidR="0AF2FB67" w:rsidRPr="00EA3808">
              <w:rPr>
                <w:rFonts w:ascii="Verdana" w:hAnsi="Verdana"/>
                <w:sz w:val="22"/>
                <w:szCs w:val="22"/>
              </w:rPr>
              <w:t xml:space="preserve"> Cáchira</w:t>
            </w:r>
          </w:p>
          <w:p w14:paraId="627A7895" w14:textId="2BB4A8D1" w:rsidR="18CD9353" w:rsidRPr="00EA3808" w:rsidRDefault="18CD9353"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 xml:space="preserve">Administración Municipal de </w:t>
            </w:r>
            <w:r w:rsidR="0AF2FB67" w:rsidRPr="00EA3808">
              <w:rPr>
                <w:rFonts w:ascii="Verdana" w:hAnsi="Verdana"/>
                <w:sz w:val="22"/>
                <w:szCs w:val="22"/>
              </w:rPr>
              <w:t>Cácota</w:t>
            </w:r>
          </w:p>
          <w:p w14:paraId="404D33F2" w14:textId="7D2C3A39" w:rsidR="4AC3132A" w:rsidRPr="00EA3808" w:rsidRDefault="4AC3132A"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 xml:space="preserve">Administración Municipal de </w:t>
            </w:r>
            <w:r w:rsidR="0AF2FB67" w:rsidRPr="00EA3808">
              <w:rPr>
                <w:rFonts w:ascii="Verdana" w:hAnsi="Verdana"/>
                <w:sz w:val="22"/>
                <w:szCs w:val="22"/>
              </w:rPr>
              <w:t>Chinácota</w:t>
            </w:r>
          </w:p>
          <w:p w14:paraId="5068D32F" w14:textId="0DC099C6" w:rsidR="3F919391" w:rsidRPr="00EA3808" w:rsidRDefault="3F919391"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w:t>
            </w:r>
            <w:r w:rsidR="0AF2FB67" w:rsidRPr="00EA3808">
              <w:rPr>
                <w:rFonts w:ascii="Verdana" w:hAnsi="Verdana"/>
                <w:sz w:val="22"/>
                <w:szCs w:val="22"/>
              </w:rPr>
              <w:t xml:space="preserve"> Chitagá</w:t>
            </w:r>
          </w:p>
          <w:p w14:paraId="056F45AB" w14:textId="07ED5229" w:rsidR="285394BC" w:rsidRPr="00EA3808" w:rsidRDefault="285394BC"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w:t>
            </w:r>
            <w:r w:rsidR="0AF2FB67" w:rsidRPr="00EA3808">
              <w:rPr>
                <w:rFonts w:ascii="Verdana" w:hAnsi="Verdana"/>
                <w:sz w:val="22"/>
                <w:szCs w:val="22"/>
              </w:rPr>
              <w:t xml:space="preserve"> </w:t>
            </w:r>
            <w:proofErr w:type="spellStart"/>
            <w:r w:rsidR="0AF2FB67" w:rsidRPr="00EA3808">
              <w:rPr>
                <w:rFonts w:ascii="Verdana" w:hAnsi="Verdana"/>
                <w:sz w:val="22"/>
                <w:szCs w:val="22"/>
              </w:rPr>
              <w:t>Cucutilla</w:t>
            </w:r>
            <w:proofErr w:type="spellEnd"/>
          </w:p>
          <w:p w14:paraId="293D899F" w14:textId="6ABFA6C1" w:rsidR="74C0CF77" w:rsidRPr="00EA3808" w:rsidRDefault="74C0CF77"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w:t>
            </w:r>
            <w:r w:rsidR="0AF2FB67" w:rsidRPr="00EA3808">
              <w:rPr>
                <w:rFonts w:ascii="Verdana" w:hAnsi="Verdana"/>
                <w:sz w:val="22"/>
                <w:szCs w:val="22"/>
              </w:rPr>
              <w:t xml:space="preserve"> Gramalote</w:t>
            </w:r>
          </w:p>
          <w:p w14:paraId="1E1B97A1" w14:textId="4127B94B" w:rsidR="39D4F3CE" w:rsidRPr="00EA3808" w:rsidRDefault="39D4F3CE"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 xml:space="preserve">Administración Municipal de </w:t>
            </w:r>
            <w:r w:rsidR="0AF2FB67" w:rsidRPr="00EA3808">
              <w:rPr>
                <w:rFonts w:ascii="Verdana" w:hAnsi="Verdana"/>
                <w:sz w:val="22"/>
                <w:szCs w:val="22"/>
              </w:rPr>
              <w:t>La Esperanza</w:t>
            </w:r>
          </w:p>
          <w:p w14:paraId="057F99E7" w14:textId="05316AFE" w:rsidR="617E6429" w:rsidRPr="00EA3808" w:rsidRDefault="617E6429"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w:t>
            </w:r>
            <w:r w:rsidR="0AF2FB67" w:rsidRPr="00EA3808">
              <w:rPr>
                <w:rFonts w:ascii="Verdana" w:hAnsi="Verdana"/>
                <w:sz w:val="22"/>
                <w:szCs w:val="22"/>
              </w:rPr>
              <w:t xml:space="preserve"> </w:t>
            </w:r>
            <w:proofErr w:type="spellStart"/>
            <w:r w:rsidR="0AF2FB67" w:rsidRPr="00EA3808">
              <w:rPr>
                <w:rFonts w:ascii="Verdana" w:hAnsi="Verdana"/>
                <w:sz w:val="22"/>
                <w:szCs w:val="22"/>
              </w:rPr>
              <w:t>Labateca</w:t>
            </w:r>
            <w:proofErr w:type="spellEnd"/>
          </w:p>
          <w:p w14:paraId="68670BE2" w14:textId="5AF4333B" w:rsidR="41DF375B" w:rsidRPr="00EA3808" w:rsidRDefault="41DF375B"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w:t>
            </w:r>
            <w:r w:rsidR="0AF2FB67" w:rsidRPr="00EA3808">
              <w:rPr>
                <w:rFonts w:ascii="Verdana" w:hAnsi="Verdana"/>
                <w:sz w:val="22"/>
                <w:szCs w:val="22"/>
              </w:rPr>
              <w:t xml:space="preserve"> Lourdes</w:t>
            </w:r>
          </w:p>
          <w:p w14:paraId="24AAE1A1" w14:textId="74F8A878" w:rsidR="131CCE40" w:rsidRPr="00EA3808" w:rsidRDefault="131CCE40"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w:t>
            </w:r>
            <w:r w:rsidR="0AF2FB67" w:rsidRPr="00EA3808">
              <w:rPr>
                <w:rFonts w:ascii="Verdana" w:hAnsi="Verdana"/>
                <w:sz w:val="22"/>
                <w:szCs w:val="22"/>
              </w:rPr>
              <w:t xml:space="preserve"> Mutiscua</w:t>
            </w:r>
          </w:p>
          <w:p w14:paraId="7E0ABE08" w14:textId="0FD1BEC3" w:rsidR="5CC10588" w:rsidRPr="00EA3808" w:rsidRDefault="5CC10588"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w:t>
            </w:r>
            <w:r w:rsidR="0AF2FB67" w:rsidRPr="00EA3808">
              <w:rPr>
                <w:rFonts w:ascii="Verdana" w:hAnsi="Verdana"/>
                <w:sz w:val="22"/>
                <w:szCs w:val="22"/>
              </w:rPr>
              <w:t xml:space="preserve"> Pamplona</w:t>
            </w:r>
          </w:p>
          <w:p w14:paraId="0FD30425" w14:textId="46BB25A1" w:rsidR="33415EE0" w:rsidRPr="00EA3808" w:rsidRDefault="33415EE0"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w:t>
            </w:r>
            <w:r w:rsidR="0AF2FB67" w:rsidRPr="00EA3808">
              <w:rPr>
                <w:rFonts w:ascii="Verdana" w:hAnsi="Verdana"/>
                <w:sz w:val="22"/>
                <w:szCs w:val="22"/>
              </w:rPr>
              <w:t xml:space="preserve"> Pamplonita</w:t>
            </w:r>
          </w:p>
          <w:p w14:paraId="3ECDB472" w14:textId="1CAEEABC" w:rsidR="210804AF" w:rsidRPr="00EA3808" w:rsidRDefault="210804AF"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w:t>
            </w:r>
            <w:r w:rsidR="0AF2FB67" w:rsidRPr="00EA3808">
              <w:rPr>
                <w:rFonts w:ascii="Verdana" w:hAnsi="Verdana"/>
                <w:sz w:val="22"/>
                <w:szCs w:val="22"/>
              </w:rPr>
              <w:t xml:space="preserve"> Salazar de las Palmas</w:t>
            </w:r>
          </w:p>
          <w:p w14:paraId="3D2D84E4" w14:textId="7B4C1BD1" w:rsidR="5F020306" w:rsidRPr="00EA3808" w:rsidRDefault="5F020306"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w:t>
            </w:r>
            <w:r w:rsidR="0AF2FB67" w:rsidRPr="00EA3808">
              <w:rPr>
                <w:rFonts w:ascii="Verdana" w:hAnsi="Verdana"/>
                <w:sz w:val="22"/>
                <w:szCs w:val="22"/>
              </w:rPr>
              <w:t xml:space="preserve"> Santo Domingo de Silos</w:t>
            </w:r>
          </w:p>
          <w:p w14:paraId="6128BD56" w14:textId="1EBDC3FF" w:rsidR="11AE82BB" w:rsidRPr="00EA3808" w:rsidRDefault="11AE82BB"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w:t>
            </w:r>
            <w:r w:rsidR="0AF2FB67" w:rsidRPr="00EA3808">
              <w:rPr>
                <w:rFonts w:ascii="Verdana" w:hAnsi="Verdana"/>
                <w:sz w:val="22"/>
                <w:szCs w:val="22"/>
              </w:rPr>
              <w:t xml:space="preserve"> Villa Caro</w:t>
            </w:r>
          </w:p>
          <w:p w14:paraId="468E22BF" w14:textId="6F693365" w:rsidR="481FA49C" w:rsidRPr="00EA3808" w:rsidRDefault="481FA49C"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 xml:space="preserve">Administración Municipal de </w:t>
            </w:r>
            <w:r w:rsidR="0AF2FB67" w:rsidRPr="00EA3808">
              <w:rPr>
                <w:rFonts w:ascii="Verdana" w:hAnsi="Verdana"/>
                <w:sz w:val="22"/>
                <w:szCs w:val="22"/>
              </w:rPr>
              <w:t>Toledo</w:t>
            </w:r>
          </w:p>
          <w:p w14:paraId="54B70054" w14:textId="019C4DE5" w:rsidR="4FAA9D27" w:rsidRPr="00EA3808" w:rsidRDefault="4FAA9D27"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w:t>
            </w:r>
            <w:r w:rsidR="0AF2FB67" w:rsidRPr="00EA3808">
              <w:rPr>
                <w:rFonts w:ascii="Verdana" w:hAnsi="Verdana"/>
                <w:sz w:val="22"/>
                <w:szCs w:val="22"/>
              </w:rPr>
              <w:t xml:space="preserve"> San José de Cúcuta</w:t>
            </w:r>
          </w:p>
          <w:p w14:paraId="3C9BE6F8" w14:textId="3B89516D" w:rsidR="6E33223F" w:rsidRPr="00EA3808" w:rsidRDefault="6E33223F"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w:t>
            </w:r>
            <w:r w:rsidR="0AF2FB67" w:rsidRPr="00EA3808">
              <w:rPr>
                <w:rFonts w:ascii="Verdana" w:hAnsi="Verdana"/>
                <w:sz w:val="22"/>
                <w:szCs w:val="22"/>
              </w:rPr>
              <w:t xml:space="preserve"> Los Patios</w:t>
            </w:r>
          </w:p>
          <w:p w14:paraId="4EA9B7DD" w14:textId="4702BBD1" w:rsidR="2442802B" w:rsidRPr="00EA3808" w:rsidRDefault="2442802B"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w:t>
            </w:r>
            <w:r w:rsidR="0AF2FB67" w:rsidRPr="00EA3808">
              <w:rPr>
                <w:rFonts w:ascii="Verdana" w:hAnsi="Verdana"/>
                <w:sz w:val="22"/>
                <w:szCs w:val="22"/>
              </w:rPr>
              <w:t xml:space="preserve"> Villa del Rosario</w:t>
            </w:r>
          </w:p>
          <w:p w14:paraId="2B160A70" w14:textId="4AACBADD" w:rsidR="2C12C7A8" w:rsidRPr="00EA3808" w:rsidRDefault="2C12C7A8"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w:t>
            </w:r>
            <w:r w:rsidR="0AF2FB67" w:rsidRPr="00EA3808">
              <w:rPr>
                <w:rFonts w:ascii="Verdana" w:hAnsi="Verdana"/>
                <w:sz w:val="22"/>
                <w:szCs w:val="22"/>
              </w:rPr>
              <w:t xml:space="preserve"> El Zuli</w:t>
            </w:r>
            <w:r w:rsidR="5B16689D" w:rsidRPr="00EA3808">
              <w:rPr>
                <w:rFonts w:ascii="Verdana" w:hAnsi="Verdana"/>
                <w:sz w:val="22"/>
                <w:szCs w:val="22"/>
              </w:rPr>
              <w:t>a</w:t>
            </w:r>
          </w:p>
          <w:p w14:paraId="1D5B5645" w14:textId="1E616E54" w:rsidR="5B16689D" w:rsidRPr="00EA3808" w:rsidRDefault="5B16689D"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w:t>
            </w:r>
            <w:r w:rsidR="0AF2FB67" w:rsidRPr="00EA3808">
              <w:rPr>
                <w:rFonts w:ascii="Verdana" w:hAnsi="Verdana"/>
                <w:sz w:val="22"/>
                <w:szCs w:val="22"/>
              </w:rPr>
              <w:t xml:space="preserve"> San Cayetano</w:t>
            </w:r>
          </w:p>
          <w:p w14:paraId="6D95E270" w14:textId="5401B378" w:rsidR="003CBECC" w:rsidRPr="00EA3808" w:rsidRDefault="003CBECC"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w:t>
            </w:r>
            <w:r w:rsidR="0AF2FB67" w:rsidRPr="00EA3808">
              <w:rPr>
                <w:rFonts w:ascii="Verdana" w:hAnsi="Verdana"/>
                <w:sz w:val="22"/>
                <w:szCs w:val="22"/>
              </w:rPr>
              <w:t xml:space="preserve"> Puerto Santander</w:t>
            </w:r>
          </w:p>
          <w:p w14:paraId="29424138" w14:textId="5BA7E904" w:rsidR="1718DF7B" w:rsidRPr="00EA3808" w:rsidRDefault="1718DF7B" w:rsidP="4095ADAA">
            <w:pPr>
              <w:pBdr>
                <w:top w:val="nil"/>
                <w:left w:val="nil"/>
                <w:bottom w:val="nil"/>
                <w:right w:val="nil"/>
                <w:between w:val="nil"/>
              </w:pBdr>
              <w:spacing w:before="1"/>
              <w:ind w:left="83"/>
              <w:jc w:val="both"/>
              <w:rPr>
                <w:rFonts w:ascii="Verdana" w:hAnsi="Verdana"/>
              </w:rPr>
            </w:pPr>
            <w:r w:rsidRPr="00EA3808">
              <w:rPr>
                <w:rFonts w:ascii="Verdana" w:hAnsi="Verdana"/>
                <w:sz w:val="22"/>
                <w:szCs w:val="22"/>
              </w:rPr>
              <w:t>Administración Municipal de</w:t>
            </w:r>
            <w:r w:rsidR="0AF2FB67" w:rsidRPr="00EA3808">
              <w:rPr>
                <w:rFonts w:ascii="Verdana" w:hAnsi="Verdana"/>
                <w:sz w:val="22"/>
                <w:szCs w:val="22"/>
              </w:rPr>
              <w:t xml:space="preserve"> Santiago.  </w:t>
            </w:r>
          </w:p>
          <w:p w14:paraId="0B0AE971" w14:textId="2327DF9C" w:rsidR="4095ADAA" w:rsidRPr="00EA3808" w:rsidRDefault="4095ADAA" w:rsidP="4095ADAA">
            <w:pPr>
              <w:pStyle w:val="Listavistosa-nfasis11"/>
              <w:spacing w:line="240" w:lineRule="auto"/>
              <w:ind w:left="0"/>
              <w:jc w:val="both"/>
              <w:rPr>
                <w:rFonts w:ascii="Verdana" w:hAnsi="Verdana"/>
              </w:rPr>
            </w:pPr>
          </w:p>
          <w:p w14:paraId="61FFBEFA" w14:textId="0AFBA483" w:rsidR="67D92F05" w:rsidRPr="00EA3808" w:rsidRDefault="67D92F05" w:rsidP="4095ADAA">
            <w:pPr>
              <w:pStyle w:val="Listavistosa-nfasis11"/>
              <w:spacing w:line="240" w:lineRule="auto"/>
              <w:ind w:left="0"/>
              <w:jc w:val="both"/>
              <w:rPr>
                <w:rFonts w:ascii="Verdana" w:hAnsi="Verdana"/>
              </w:rPr>
            </w:pPr>
            <w:r w:rsidRPr="00EA3808">
              <w:rPr>
                <w:rFonts w:ascii="Verdana" w:hAnsi="Verdana"/>
              </w:rPr>
              <w:t>Familias campesinas con arraigo en los páramos</w:t>
            </w:r>
          </w:p>
          <w:p w14:paraId="3EA1BB1D" w14:textId="466064E9" w:rsidR="67D92F05" w:rsidRPr="00EA3808" w:rsidRDefault="67D92F05" w:rsidP="4095ADAA">
            <w:pPr>
              <w:pStyle w:val="Listavistosa-nfasis11"/>
              <w:spacing w:line="240" w:lineRule="auto"/>
              <w:ind w:left="0"/>
              <w:jc w:val="both"/>
              <w:rPr>
                <w:rFonts w:ascii="Verdana" w:hAnsi="Verdana"/>
              </w:rPr>
            </w:pPr>
            <w:r w:rsidRPr="00EA3808">
              <w:rPr>
                <w:rFonts w:ascii="Verdana" w:hAnsi="Verdana"/>
              </w:rPr>
              <w:t>Gestoras y gestores de páramos</w:t>
            </w:r>
          </w:p>
          <w:p w14:paraId="38645DFC" w14:textId="7A765C00" w:rsidR="67D92F05" w:rsidRPr="00EA3808" w:rsidRDefault="67D92F05" w:rsidP="4095ADAA">
            <w:pPr>
              <w:pStyle w:val="Listavistosa-nfasis11"/>
              <w:spacing w:line="240" w:lineRule="auto"/>
              <w:ind w:left="0"/>
              <w:jc w:val="both"/>
              <w:rPr>
                <w:rFonts w:ascii="Verdana" w:hAnsi="Verdana"/>
              </w:rPr>
            </w:pPr>
            <w:r w:rsidRPr="00EA3808">
              <w:rPr>
                <w:rFonts w:ascii="Verdana" w:hAnsi="Verdana"/>
              </w:rPr>
              <w:t>Habitantes de los municipios que se abastecen del agua que ....</w:t>
            </w:r>
          </w:p>
          <w:p w14:paraId="1CC847A9" w14:textId="3E20CDCE" w:rsidR="4095ADAA" w:rsidRPr="00EA3808" w:rsidRDefault="4095ADAA" w:rsidP="4095ADAA">
            <w:pPr>
              <w:pStyle w:val="Listavistosa-nfasis11"/>
              <w:spacing w:line="240" w:lineRule="auto"/>
              <w:ind w:left="0"/>
              <w:jc w:val="both"/>
              <w:rPr>
                <w:rFonts w:ascii="Verdana" w:hAnsi="Verdana"/>
              </w:rPr>
            </w:pPr>
          </w:p>
          <w:p w14:paraId="1DD274DC" w14:textId="0AEFB654" w:rsidR="000D2FEE" w:rsidRPr="00EA3808" w:rsidRDefault="6FBC9A94" w:rsidP="4095ADAA">
            <w:pPr>
              <w:pStyle w:val="Listavistosa-nfasis11"/>
              <w:spacing w:line="240" w:lineRule="auto"/>
              <w:ind w:left="0"/>
              <w:jc w:val="both"/>
              <w:rPr>
                <w:rFonts w:ascii="Verdana" w:hAnsi="Verdana" w:cs="Arial"/>
                <w:color w:val="808080"/>
                <w:sz w:val="18"/>
                <w:szCs w:val="18"/>
              </w:rPr>
            </w:pPr>
            <w:r w:rsidRPr="00EA3808">
              <w:rPr>
                <w:rFonts w:ascii="Verdana" w:hAnsi="Verdana"/>
              </w:rPr>
              <w:t xml:space="preserve"> </w:t>
            </w:r>
            <w:r w:rsidR="63C7F579" w:rsidRPr="00EA3808">
              <w:rPr>
                <w:rFonts w:ascii="Verdana" w:hAnsi="Verdana"/>
              </w:rPr>
              <w:t xml:space="preserve">Ciudadanía en </w:t>
            </w:r>
            <w:r w:rsidR="00FC6381" w:rsidRPr="00EA3808">
              <w:rPr>
                <w:rFonts w:ascii="Verdana" w:hAnsi="Verdana"/>
              </w:rPr>
              <w:t>general</w:t>
            </w:r>
            <w:r w:rsidR="00FC6381">
              <w:rPr>
                <w:rFonts w:ascii="Verdana" w:hAnsi="Verdana"/>
              </w:rPr>
              <w:t xml:space="preserve"> y todos los interesados</w:t>
            </w:r>
          </w:p>
          <w:p w14:paraId="2DD9E055" w14:textId="77777777" w:rsidR="00795C6B" w:rsidRPr="00EA3808" w:rsidRDefault="00795C6B" w:rsidP="0075705D">
            <w:pPr>
              <w:rPr>
                <w:rFonts w:ascii="Verdana" w:hAnsi="Verdana" w:cs="Arial"/>
                <w:iCs/>
                <w:color w:val="000000"/>
                <w:sz w:val="22"/>
                <w:szCs w:val="22"/>
              </w:rPr>
            </w:pPr>
          </w:p>
        </w:tc>
      </w:tr>
      <w:tr w:rsidR="00DF60FD" w:rsidRPr="00EA3808" w14:paraId="0BB74412" w14:textId="77777777" w:rsidTr="086CF79C">
        <w:trPr>
          <w:trHeight w:val="3379"/>
        </w:trPr>
        <w:tc>
          <w:tcPr>
            <w:tcW w:w="10774" w:type="dxa"/>
            <w:gridSpan w:val="3"/>
            <w:tcBorders>
              <w:bottom w:val="single" w:sz="4" w:space="0" w:color="auto"/>
            </w:tcBorders>
            <w:shd w:val="clear" w:color="auto" w:fill="FFFFFF" w:themeFill="background1"/>
            <w:vAlign w:val="center"/>
          </w:tcPr>
          <w:p w14:paraId="393A2D40" w14:textId="77777777" w:rsidR="00DF60FD" w:rsidRPr="00EA3808" w:rsidRDefault="445537B1" w:rsidP="4095ADAA">
            <w:pPr>
              <w:numPr>
                <w:ilvl w:val="0"/>
                <w:numId w:val="2"/>
              </w:numPr>
              <w:rPr>
                <w:rFonts w:ascii="Verdana" w:hAnsi="Verdana" w:cs="Arial"/>
                <w:b/>
                <w:bCs/>
                <w:color w:val="000000"/>
                <w:sz w:val="22"/>
                <w:szCs w:val="22"/>
              </w:rPr>
            </w:pPr>
            <w:r w:rsidRPr="00EA3808">
              <w:rPr>
                <w:rFonts w:ascii="Verdana" w:hAnsi="Verdana" w:cs="Arial"/>
                <w:b/>
                <w:bCs/>
                <w:color w:val="000000" w:themeColor="text1"/>
                <w:sz w:val="22"/>
                <w:szCs w:val="22"/>
              </w:rPr>
              <w:lastRenderedPageBreak/>
              <w:t>VIABILIDAD JURÍDICA</w:t>
            </w:r>
          </w:p>
          <w:p w14:paraId="3B56CC5D" w14:textId="77777777" w:rsidR="00D05B67" w:rsidRPr="00EA3808" w:rsidRDefault="00D05B67" w:rsidP="4095ADAA">
            <w:pPr>
              <w:ind w:left="494" w:hanging="283"/>
              <w:rPr>
                <w:rFonts w:ascii="Verdana" w:hAnsi="Verdana" w:cs="Arial"/>
                <w:i/>
                <w:iCs/>
                <w:color w:val="808080"/>
                <w:sz w:val="22"/>
                <w:szCs w:val="22"/>
              </w:rPr>
            </w:pPr>
          </w:p>
          <w:p w14:paraId="0BEAEF4B" w14:textId="77777777" w:rsidR="00795C6B" w:rsidRPr="00EA3808" w:rsidRDefault="75AF9E58" w:rsidP="005B25BE">
            <w:pPr>
              <w:numPr>
                <w:ilvl w:val="1"/>
                <w:numId w:val="2"/>
              </w:numPr>
              <w:jc w:val="both"/>
              <w:rPr>
                <w:rFonts w:ascii="Verdana" w:hAnsi="Verdana" w:cs="Arial"/>
                <w:b/>
                <w:bCs/>
                <w:sz w:val="22"/>
                <w:szCs w:val="22"/>
                <w:lang w:val="es-CO" w:eastAsia="es-CO"/>
              </w:rPr>
            </w:pPr>
            <w:r w:rsidRPr="00EA3808">
              <w:rPr>
                <w:rFonts w:ascii="Verdana" w:hAnsi="Verdana" w:cs="Arial"/>
                <w:b/>
                <w:bCs/>
                <w:sz w:val="22"/>
                <w:szCs w:val="22"/>
                <w:lang w:val="es-CO" w:eastAsia="es-CO"/>
              </w:rPr>
              <w:t>Análisis de las normas que otorgan la competencia para la expedición del proyecto normativo</w:t>
            </w:r>
          </w:p>
          <w:p w14:paraId="4EEACC1D" w14:textId="77777777" w:rsidR="004D4273" w:rsidRPr="00EA3808" w:rsidRDefault="004D4273" w:rsidP="004D4273">
            <w:pPr>
              <w:ind w:left="360"/>
              <w:jc w:val="both"/>
              <w:rPr>
                <w:rFonts w:ascii="Verdana" w:hAnsi="Verdana" w:cs="Arial"/>
                <w:sz w:val="22"/>
                <w:szCs w:val="22"/>
                <w:lang w:val="es-CO" w:eastAsia="es-CO"/>
              </w:rPr>
            </w:pPr>
          </w:p>
          <w:p w14:paraId="20A55366" w14:textId="77777777" w:rsidR="004D4273" w:rsidRPr="00EA3808" w:rsidRDefault="7265119E" w:rsidP="004D4273">
            <w:pPr>
              <w:ind w:left="360"/>
              <w:jc w:val="both"/>
              <w:rPr>
                <w:rFonts w:ascii="Verdana" w:hAnsi="Verdana" w:cs="Arial"/>
                <w:b/>
                <w:bCs/>
                <w:sz w:val="22"/>
                <w:szCs w:val="22"/>
                <w:lang w:val="es-CO" w:eastAsia="es-CO"/>
              </w:rPr>
            </w:pPr>
            <w:r w:rsidRPr="00EA3808">
              <w:rPr>
                <w:rFonts w:ascii="Verdana" w:hAnsi="Verdana" w:cs="Arial"/>
                <w:b/>
                <w:bCs/>
                <w:sz w:val="22"/>
                <w:szCs w:val="22"/>
                <w:lang w:val="es-CO" w:eastAsia="es-CO"/>
              </w:rPr>
              <w:t>Constitución Política de Colombia</w:t>
            </w:r>
          </w:p>
          <w:p w14:paraId="017D21E3" w14:textId="77777777" w:rsidR="004D4273" w:rsidRPr="00EA3808" w:rsidRDefault="004D4273" w:rsidP="004D4273">
            <w:pPr>
              <w:ind w:left="360"/>
              <w:jc w:val="both"/>
              <w:rPr>
                <w:rFonts w:ascii="Verdana" w:hAnsi="Verdana" w:cs="Arial"/>
                <w:b/>
                <w:bCs/>
                <w:sz w:val="22"/>
                <w:szCs w:val="22"/>
                <w:lang w:val="es-CO" w:eastAsia="es-CO"/>
              </w:rPr>
            </w:pPr>
          </w:p>
          <w:p w14:paraId="3889ACED" w14:textId="77777777" w:rsidR="004D4273" w:rsidRPr="00EA3808" w:rsidRDefault="7265119E" w:rsidP="004D4273">
            <w:pPr>
              <w:ind w:left="360"/>
              <w:jc w:val="both"/>
              <w:rPr>
                <w:rFonts w:ascii="Verdana" w:hAnsi="Verdana" w:cs="Arial"/>
                <w:sz w:val="22"/>
                <w:szCs w:val="22"/>
                <w:lang w:val="es-CO" w:eastAsia="es-CO"/>
              </w:rPr>
            </w:pPr>
            <w:r w:rsidRPr="00EA3808">
              <w:rPr>
                <w:rFonts w:ascii="Verdana" w:hAnsi="Verdana" w:cs="Arial"/>
                <w:sz w:val="22"/>
                <w:szCs w:val="22"/>
                <w:lang w:val="es-CO" w:eastAsia="es-CO"/>
              </w:rPr>
              <w:t>Que el artículo 79 de la Constitución Política establece que:</w:t>
            </w:r>
          </w:p>
          <w:p w14:paraId="14BBC111" w14:textId="77777777" w:rsidR="004D4273" w:rsidRPr="00EA3808" w:rsidRDefault="004D4273" w:rsidP="004D4273">
            <w:pPr>
              <w:ind w:left="360"/>
              <w:jc w:val="both"/>
              <w:rPr>
                <w:rFonts w:ascii="Verdana" w:hAnsi="Verdana" w:cs="Arial"/>
                <w:sz w:val="22"/>
                <w:szCs w:val="22"/>
                <w:lang w:val="es-CO" w:eastAsia="es-CO"/>
              </w:rPr>
            </w:pPr>
          </w:p>
          <w:p w14:paraId="01EA5443" w14:textId="77777777" w:rsidR="004D4273" w:rsidRPr="00EA3808" w:rsidRDefault="7265119E" w:rsidP="004D4273">
            <w:pPr>
              <w:ind w:left="360"/>
              <w:jc w:val="both"/>
              <w:rPr>
                <w:rFonts w:ascii="Verdana" w:hAnsi="Verdana"/>
              </w:rPr>
            </w:pPr>
            <w:r w:rsidRPr="00EA3808">
              <w:rPr>
                <w:rFonts w:ascii="Verdana" w:hAnsi="Verdana" w:cs="Arial"/>
                <w:i/>
                <w:iCs/>
                <w:sz w:val="22"/>
                <w:szCs w:val="22"/>
              </w:rPr>
              <w:t xml:space="preserve">«Todas las personas tienen derecho a gozar de un ambiente sano. La ley garantizará la participación de la comunidad en las decisiones que puedan afectarlo. Es deber del Estado proteger la diversidad </w:t>
            </w:r>
            <w:r w:rsidR="73644FC5" w:rsidRPr="00EA3808">
              <w:rPr>
                <w:rFonts w:ascii="Verdana" w:hAnsi="Verdana" w:cs="Arial"/>
                <w:i/>
                <w:iCs/>
                <w:sz w:val="22"/>
                <w:szCs w:val="22"/>
              </w:rPr>
              <w:t>e</w:t>
            </w:r>
            <w:r w:rsidRPr="00EA3808">
              <w:rPr>
                <w:rFonts w:ascii="Verdana" w:hAnsi="Verdana" w:cs="Arial"/>
                <w:i/>
                <w:iCs/>
                <w:sz w:val="22"/>
                <w:szCs w:val="22"/>
              </w:rPr>
              <w:t xml:space="preserve"> integridad del ambiente, conservar áreas de especial importancia ecológica y fomentar la educación para el logro de estos fines.</w:t>
            </w:r>
            <w:r w:rsidRPr="00EA3808">
              <w:rPr>
                <w:rFonts w:ascii="Verdana" w:hAnsi="Verdana" w:cs="Arial"/>
                <w:i/>
                <w:iCs/>
                <w:color w:val="333333"/>
                <w:sz w:val="22"/>
                <w:szCs w:val="22"/>
              </w:rPr>
              <w:t>»</w:t>
            </w:r>
          </w:p>
          <w:p w14:paraId="54502AA5" w14:textId="3CDC818C" w:rsidR="4095ADAA" w:rsidRPr="00EA3808" w:rsidRDefault="4095ADAA" w:rsidP="4095ADAA">
            <w:pPr>
              <w:ind w:left="360"/>
              <w:jc w:val="both"/>
              <w:rPr>
                <w:rFonts w:ascii="Verdana" w:hAnsi="Verdana" w:cs="Arial"/>
                <w:i/>
                <w:iCs/>
                <w:color w:val="333333"/>
                <w:sz w:val="22"/>
                <w:szCs w:val="22"/>
              </w:rPr>
            </w:pPr>
          </w:p>
          <w:p w14:paraId="4A5CE315" w14:textId="29B71893" w:rsidR="03E45E80" w:rsidRPr="00EA3808" w:rsidRDefault="5FAA8602" w:rsidP="4095ADAA">
            <w:pPr>
              <w:ind w:left="360"/>
              <w:jc w:val="both"/>
              <w:rPr>
                <w:rFonts w:ascii="Verdana" w:hAnsi="Verdana"/>
              </w:rPr>
            </w:pPr>
            <w:r w:rsidRPr="00EA3808">
              <w:rPr>
                <w:rFonts w:ascii="Verdana" w:hAnsi="Verdana" w:cs="Arial"/>
                <w:i/>
                <w:iCs/>
                <w:color w:val="333333"/>
                <w:sz w:val="22"/>
                <w:szCs w:val="22"/>
              </w:rPr>
              <w:t>Que el artículo 334 de la Constitución Política establece que:</w:t>
            </w:r>
          </w:p>
          <w:p w14:paraId="4478E401" w14:textId="5DD4C2DC" w:rsidR="4095ADAA" w:rsidRPr="00EA3808" w:rsidRDefault="4095ADAA" w:rsidP="086CF79C">
            <w:pPr>
              <w:ind w:left="360"/>
              <w:jc w:val="both"/>
              <w:rPr>
                <w:rFonts w:ascii="Verdana" w:hAnsi="Verdana" w:cs="Arial"/>
                <w:i/>
                <w:iCs/>
                <w:color w:val="333333"/>
                <w:sz w:val="22"/>
                <w:szCs w:val="22"/>
              </w:rPr>
            </w:pPr>
          </w:p>
          <w:p w14:paraId="0A112449" w14:textId="78980851" w:rsidR="4CA30EC6" w:rsidRPr="00EA3808" w:rsidRDefault="1164E3D1" w:rsidP="086CF79C">
            <w:pPr>
              <w:ind w:left="360"/>
              <w:jc w:val="both"/>
              <w:rPr>
                <w:rFonts w:ascii="Verdana" w:hAnsi="Verdana" w:cs="Arial"/>
                <w:i/>
                <w:iCs/>
                <w:color w:val="333333"/>
                <w:sz w:val="22"/>
                <w:szCs w:val="22"/>
              </w:rPr>
            </w:pPr>
            <w:proofErr w:type="gramStart"/>
            <w:r w:rsidRPr="00EA3808">
              <w:rPr>
                <w:rFonts w:ascii="Verdana" w:hAnsi="Verdana" w:cs="Arial"/>
                <w:i/>
                <w:iCs/>
                <w:sz w:val="22"/>
                <w:szCs w:val="22"/>
              </w:rPr>
              <w:t>«</w:t>
            </w:r>
            <w:r w:rsidRPr="00EA3808">
              <w:rPr>
                <w:rFonts w:ascii="Verdana" w:eastAsia="Verdana" w:hAnsi="Verdana" w:cs="Verdana"/>
                <w:sz w:val="22"/>
                <w:szCs w:val="22"/>
              </w:rPr>
              <w:t xml:space="preserve"> La</w:t>
            </w:r>
            <w:proofErr w:type="gramEnd"/>
            <w:r w:rsidRPr="00EA3808">
              <w:rPr>
                <w:rFonts w:ascii="Verdana" w:hAnsi="Verdana" w:cs="Arial"/>
                <w:i/>
                <w:iCs/>
                <w:sz w:val="22"/>
                <w:szCs w:val="22"/>
              </w:rPr>
              <w:t xml:space="preserve"> dirección general de la economía estará a cargo del Estado. Este intervendrá, por mandato de la ley, en la explotación de los recursos naturales, en el uso del suelo, en la producción, distribución, utilización y consumo de los bienes, y en los servicios públicos y privados, para racionalizar la economía con el fin de conseguir el mejoramiento de la calidad de vida de los habitantes, la distribución equitativa de las oportunidades y los beneficios del desarrollo y la preservación de un ambiente san</w:t>
            </w:r>
            <w:r w:rsidRPr="00EA3808">
              <w:rPr>
                <w:rFonts w:ascii="Verdana" w:eastAsia="Verdana" w:hAnsi="Verdana" w:cs="Verdana"/>
                <w:sz w:val="22"/>
                <w:szCs w:val="22"/>
              </w:rPr>
              <w:t>o.</w:t>
            </w:r>
            <w:r w:rsidRPr="00EA3808">
              <w:rPr>
                <w:rFonts w:ascii="Verdana" w:hAnsi="Verdana" w:cs="Arial"/>
                <w:i/>
                <w:iCs/>
                <w:color w:val="333333"/>
                <w:sz w:val="22"/>
                <w:szCs w:val="22"/>
              </w:rPr>
              <w:t>»</w:t>
            </w:r>
          </w:p>
          <w:p w14:paraId="15AF52D4" w14:textId="77777777" w:rsidR="00C43FCC" w:rsidRPr="00EA3808" w:rsidRDefault="00C43FCC" w:rsidP="00EA3808">
            <w:pPr>
              <w:jc w:val="both"/>
              <w:rPr>
                <w:rFonts w:ascii="Verdana" w:hAnsi="Verdana" w:cs="Arial"/>
                <w:i/>
                <w:iCs/>
                <w:sz w:val="22"/>
                <w:szCs w:val="22"/>
                <w:lang w:val="es-CO" w:eastAsia="es-CO"/>
              </w:rPr>
            </w:pPr>
          </w:p>
          <w:p w14:paraId="0209433F" w14:textId="77777777" w:rsidR="00C43FCC" w:rsidRPr="00EA3808" w:rsidRDefault="73644FC5" w:rsidP="004D4273">
            <w:pPr>
              <w:ind w:left="360"/>
              <w:jc w:val="both"/>
              <w:rPr>
                <w:rFonts w:ascii="Verdana" w:hAnsi="Verdana" w:cs="Arial"/>
                <w:sz w:val="22"/>
                <w:szCs w:val="22"/>
                <w:lang w:val="es-CO" w:eastAsia="es-CO"/>
              </w:rPr>
            </w:pPr>
            <w:r w:rsidRPr="00EA3808">
              <w:rPr>
                <w:rFonts w:ascii="Verdana" w:hAnsi="Verdana" w:cs="Arial"/>
                <w:b/>
                <w:bCs/>
                <w:sz w:val="22"/>
                <w:szCs w:val="22"/>
                <w:lang w:val="es-CO" w:eastAsia="es-CO"/>
              </w:rPr>
              <w:t>Ley 99 de 1993</w:t>
            </w:r>
          </w:p>
          <w:p w14:paraId="38658328" w14:textId="77777777" w:rsidR="00C43FCC" w:rsidRPr="00EA3808" w:rsidRDefault="00C43FCC" w:rsidP="004D4273">
            <w:pPr>
              <w:ind w:left="360"/>
              <w:jc w:val="both"/>
              <w:rPr>
                <w:rFonts w:ascii="Verdana" w:hAnsi="Verdana" w:cs="Arial"/>
                <w:sz w:val="22"/>
                <w:szCs w:val="22"/>
                <w:lang w:val="es-CO" w:eastAsia="es-CO"/>
              </w:rPr>
            </w:pPr>
          </w:p>
          <w:p w14:paraId="29656303" w14:textId="77777777" w:rsidR="00C43FCC" w:rsidRPr="00EA3808" w:rsidRDefault="73644FC5" w:rsidP="00C43FCC">
            <w:pPr>
              <w:ind w:left="360"/>
              <w:jc w:val="both"/>
              <w:rPr>
                <w:rFonts w:ascii="Verdana" w:hAnsi="Verdana" w:cs="Arial"/>
                <w:sz w:val="22"/>
                <w:szCs w:val="22"/>
                <w:lang w:val="es-CO" w:eastAsia="es-CO"/>
              </w:rPr>
            </w:pPr>
            <w:r w:rsidRPr="00EA3808">
              <w:rPr>
                <w:rFonts w:ascii="Verdana" w:hAnsi="Verdana" w:cs="Arial"/>
                <w:sz w:val="22"/>
                <w:szCs w:val="22"/>
                <w:lang w:val="es-CO" w:eastAsia="es-CO"/>
              </w:rPr>
              <w:t>Que el artículo 1 de la Ley 99 de 1993, establece que la política ambiental colombiana seguirá</w:t>
            </w:r>
            <w:r w:rsidR="7AC17C48" w:rsidRPr="00EA3808">
              <w:rPr>
                <w:rFonts w:ascii="Verdana" w:hAnsi="Verdana" w:cs="Arial"/>
                <w:sz w:val="22"/>
                <w:szCs w:val="22"/>
                <w:lang w:val="es-CO" w:eastAsia="es-CO"/>
              </w:rPr>
              <w:t>, entre otros,</w:t>
            </w:r>
            <w:r w:rsidRPr="00EA3808">
              <w:rPr>
                <w:rFonts w:ascii="Verdana" w:hAnsi="Verdana" w:cs="Arial"/>
                <w:sz w:val="22"/>
                <w:szCs w:val="22"/>
                <w:lang w:val="es-CO" w:eastAsia="es-CO"/>
              </w:rPr>
              <w:t xml:space="preserve"> los siguientes principios:</w:t>
            </w:r>
          </w:p>
          <w:p w14:paraId="31942D87" w14:textId="77777777" w:rsidR="00C43FCC" w:rsidRPr="00EA3808" w:rsidRDefault="00C43FCC" w:rsidP="00C43FCC">
            <w:pPr>
              <w:ind w:left="360"/>
              <w:jc w:val="both"/>
              <w:rPr>
                <w:rFonts w:ascii="Verdana" w:hAnsi="Verdana" w:cs="Arial"/>
                <w:sz w:val="22"/>
                <w:szCs w:val="22"/>
                <w:lang w:val="es-CO" w:eastAsia="es-CO"/>
              </w:rPr>
            </w:pPr>
          </w:p>
          <w:p w14:paraId="1CA359CE" w14:textId="77777777" w:rsidR="00C43FCC" w:rsidRPr="00EA3808" w:rsidRDefault="73644FC5" w:rsidP="00C43FCC">
            <w:pPr>
              <w:ind w:left="360"/>
              <w:jc w:val="both"/>
              <w:rPr>
                <w:rFonts w:ascii="Verdana" w:hAnsi="Verdana" w:cs="Arial"/>
                <w:sz w:val="22"/>
                <w:szCs w:val="22"/>
                <w:lang w:val="es-CO" w:eastAsia="es-CO"/>
              </w:rPr>
            </w:pPr>
            <w:r w:rsidRPr="00EA3808">
              <w:rPr>
                <w:rFonts w:ascii="Verdana" w:hAnsi="Verdana" w:cs="Arial"/>
                <w:sz w:val="22"/>
                <w:szCs w:val="22"/>
                <w:lang w:val="es-CO" w:eastAsia="es-CO"/>
              </w:rPr>
              <w:t>(…)</w:t>
            </w:r>
          </w:p>
          <w:p w14:paraId="41B8EB6F" w14:textId="77777777" w:rsidR="00C43FCC" w:rsidRPr="00EA3808" w:rsidRDefault="73644FC5" w:rsidP="4095ADAA">
            <w:pPr>
              <w:widowControl w:val="0"/>
              <w:numPr>
                <w:ilvl w:val="0"/>
                <w:numId w:val="3"/>
              </w:numPr>
              <w:pBdr>
                <w:top w:val="nil"/>
                <w:left w:val="nil"/>
                <w:bottom w:val="nil"/>
                <w:right w:val="nil"/>
                <w:between w:val="nil"/>
              </w:pBdr>
              <w:tabs>
                <w:tab w:val="left" w:pos="817"/>
              </w:tabs>
              <w:spacing w:before="239" w:line="261" w:lineRule="auto"/>
              <w:ind w:right="37" w:firstLine="0"/>
              <w:jc w:val="both"/>
              <w:rPr>
                <w:rFonts w:ascii="Verdana" w:hAnsi="Verdana" w:cs="Arial"/>
                <w:i/>
                <w:iCs/>
                <w:sz w:val="22"/>
                <w:szCs w:val="22"/>
              </w:rPr>
            </w:pPr>
            <w:r w:rsidRPr="00EA3808">
              <w:rPr>
                <w:rFonts w:ascii="Verdana" w:hAnsi="Verdana" w:cs="Arial"/>
                <w:i/>
                <w:iCs/>
                <w:sz w:val="22"/>
                <w:szCs w:val="22"/>
              </w:rPr>
              <w:t>«La biodiversidad del país, por ser patrimonio nacional y de interés de la humanidad, deberá ser protegida prioritariamente y aprovechada en forma sostenible.</w:t>
            </w:r>
          </w:p>
          <w:p w14:paraId="6E2CD29E" w14:textId="77777777" w:rsidR="00C43FCC" w:rsidRPr="00EA3808" w:rsidRDefault="73644FC5" w:rsidP="4095ADAA">
            <w:pPr>
              <w:widowControl w:val="0"/>
              <w:numPr>
                <w:ilvl w:val="0"/>
                <w:numId w:val="3"/>
              </w:numPr>
              <w:pBdr>
                <w:top w:val="nil"/>
                <w:left w:val="nil"/>
                <w:bottom w:val="nil"/>
                <w:right w:val="nil"/>
                <w:between w:val="nil"/>
              </w:pBdr>
              <w:tabs>
                <w:tab w:val="left" w:pos="832"/>
              </w:tabs>
              <w:spacing w:before="235"/>
              <w:ind w:right="37" w:firstLine="0"/>
              <w:jc w:val="both"/>
              <w:rPr>
                <w:rFonts w:ascii="Verdana" w:hAnsi="Verdana" w:cs="Arial"/>
                <w:i/>
                <w:iCs/>
                <w:sz w:val="22"/>
                <w:szCs w:val="22"/>
              </w:rPr>
            </w:pPr>
            <w:r w:rsidRPr="00EA3808">
              <w:rPr>
                <w:rFonts w:ascii="Verdana" w:hAnsi="Verdana" w:cs="Arial"/>
                <w:i/>
                <w:iCs/>
                <w:sz w:val="22"/>
                <w:szCs w:val="22"/>
              </w:rPr>
              <w:t>«Las políticas de población tendrán en cuenta el derecho de los seres humanos a una vida saludable y productiva en armonía con la naturaleza.</w:t>
            </w:r>
          </w:p>
          <w:p w14:paraId="4898FAAC" w14:textId="77777777" w:rsidR="00C43FCC" w:rsidRPr="00EA3808" w:rsidRDefault="73644FC5" w:rsidP="4095ADAA">
            <w:pPr>
              <w:widowControl w:val="0"/>
              <w:numPr>
                <w:ilvl w:val="0"/>
                <w:numId w:val="3"/>
              </w:numPr>
              <w:pBdr>
                <w:top w:val="nil"/>
                <w:left w:val="nil"/>
                <w:bottom w:val="nil"/>
                <w:right w:val="nil"/>
                <w:between w:val="nil"/>
              </w:pBdr>
              <w:tabs>
                <w:tab w:val="left" w:pos="846"/>
              </w:tabs>
              <w:spacing w:before="241"/>
              <w:ind w:right="37" w:firstLine="0"/>
              <w:jc w:val="both"/>
              <w:rPr>
                <w:rFonts w:ascii="Verdana" w:hAnsi="Verdana" w:cs="Arial"/>
                <w:i/>
                <w:iCs/>
                <w:sz w:val="22"/>
                <w:szCs w:val="22"/>
              </w:rPr>
            </w:pPr>
            <w:r w:rsidRPr="00EA3808">
              <w:rPr>
                <w:rFonts w:ascii="Verdana" w:hAnsi="Verdana" w:cs="Arial"/>
                <w:i/>
                <w:iCs/>
                <w:sz w:val="22"/>
                <w:szCs w:val="22"/>
              </w:rPr>
              <w:t>«Las zonas de páramos, subpáramos, los nacimientos de agua y las zonas de recarga de acuíferos serán objeto de protección especial.</w:t>
            </w:r>
          </w:p>
          <w:p w14:paraId="2FD57B51" w14:textId="77777777" w:rsidR="00C43FCC" w:rsidRPr="00EA3808" w:rsidRDefault="73644FC5" w:rsidP="4095ADAA">
            <w:pPr>
              <w:widowControl w:val="0"/>
              <w:numPr>
                <w:ilvl w:val="0"/>
                <w:numId w:val="3"/>
              </w:numPr>
              <w:pBdr>
                <w:top w:val="nil"/>
                <w:left w:val="nil"/>
                <w:bottom w:val="nil"/>
                <w:right w:val="nil"/>
                <w:between w:val="nil"/>
              </w:pBdr>
              <w:tabs>
                <w:tab w:val="left" w:pos="796"/>
              </w:tabs>
              <w:spacing w:before="238"/>
              <w:ind w:right="37" w:firstLine="0"/>
              <w:jc w:val="both"/>
              <w:rPr>
                <w:rFonts w:ascii="Verdana" w:hAnsi="Verdana" w:cs="Arial"/>
                <w:i/>
                <w:iCs/>
                <w:sz w:val="22"/>
                <w:szCs w:val="22"/>
              </w:rPr>
            </w:pPr>
            <w:r w:rsidRPr="00EA3808">
              <w:rPr>
                <w:rFonts w:ascii="Verdana" w:hAnsi="Verdana" w:cs="Arial"/>
                <w:i/>
                <w:iCs/>
                <w:sz w:val="22"/>
                <w:szCs w:val="22"/>
              </w:rPr>
              <w:t>«En la utilización de los recursos hídricos, el consumo humano tendrá prioridad sobre cualquier otro uso.</w:t>
            </w:r>
          </w:p>
          <w:p w14:paraId="2BE89C4E" w14:textId="77777777" w:rsidR="00C43FCC" w:rsidRPr="00EA3808" w:rsidRDefault="73644FC5" w:rsidP="4095ADAA">
            <w:pPr>
              <w:widowControl w:val="0"/>
              <w:numPr>
                <w:ilvl w:val="0"/>
                <w:numId w:val="3"/>
              </w:numPr>
              <w:pBdr>
                <w:top w:val="nil"/>
                <w:left w:val="nil"/>
                <w:bottom w:val="nil"/>
                <w:right w:val="nil"/>
                <w:between w:val="nil"/>
              </w:pBdr>
              <w:tabs>
                <w:tab w:val="left" w:pos="844"/>
              </w:tabs>
              <w:spacing w:before="241"/>
              <w:ind w:right="37" w:firstLine="0"/>
              <w:jc w:val="both"/>
              <w:rPr>
                <w:rFonts w:ascii="Verdana" w:hAnsi="Verdana" w:cs="Arial"/>
                <w:i/>
                <w:iCs/>
                <w:sz w:val="22"/>
                <w:szCs w:val="22"/>
              </w:rPr>
            </w:pPr>
            <w:r w:rsidRPr="00EA3808">
              <w:rPr>
                <w:rFonts w:ascii="Verdana" w:hAnsi="Verdana" w:cs="Arial"/>
                <w:i/>
                <w:iCs/>
                <w:sz w:val="22"/>
                <w:szCs w:val="22"/>
              </w:rPr>
              <w:t xml:space="preserve">«La formulación de las políticas ambientales tendrá en cuenta el resultado del proceso de investigación científica. No obstante, las autoridades ambientales y los particulares darán </w:t>
            </w:r>
            <w:r w:rsidRPr="00EA3808">
              <w:rPr>
                <w:rFonts w:ascii="Verdana" w:hAnsi="Verdana" w:cs="Arial"/>
                <w:i/>
                <w:iCs/>
                <w:sz w:val="22"/>
                <w:szCs w:val="22"/>
              </w:rPr>
              <w:lastRenderedPageBreak/>
              <w:t>aplicación al principio de precaución conforme al cual, cuando exista peligro de daño grave e irreversible, la falta de certeza científica</w:t>
            </w:r>
            <w:r w:rsidRPr="00EA3808">
              <w:rPr>
                <w:rFonts w:ascii="Verdana" w:hAnsi="Verdana" w:cs="Arial"/>
                <w:i/>
                <w:iCs/>
                <w:color w:val="333333"/>
                <w:sz w:val="22"/>
                <w:szCs w:val="22"/>
              </w:rPr>
              <w:t xml:space="preserve"> absoluta no deberá utilizarse como razón para postergar la adopción de medidas eficaces para impedir la degradación del medio ambiente.</w:t>
            </w:r>
          </w:p>
          <w:p w14:paraId="15C139ED" w14:textId="77777777" w:rsidR="00C43FCC" w:rsidRPr="00EA3808" w:rsidRDefault="00C43FCC" w:rsidP="00C43FCC">
            <w:pPr>
              <w:ind w:left="360"/>
              <w:jc w:val="both"/>
              <w:rPr>
                <w:rFonts w:ascii="Verdana" w:hAnsi="Verdana" w:cs="Arial"/>
                <w:sz w:val="22"/>
                <w:szCs w:val="22"/>
                <w:lang w:eastAsia="es-CO"/>
              </w:rPr>
            </w:pPr>
          </w:p>
          <w:p w14:paraId="30D7E78E" w14:textId="77777777" w:rsidR="00C43FCC" w:rsidRPr="00EA3808" w:rsidRDefault="73644FC5" w:rsidP="00C43FCC">
            <w:pPr>
              <w:ind w:left="360"/>
              <w:jc w:val="both"/>
              <w:rPr>
                <w:rFonts w:ascii="Verdana" w:hAnsi="Verdana"/>
              </w:rPr>
            </w:pPr>
            <w:r w:rsidRPr="00EA3808">
              <w:rPr>
                <w:rFonts w:ascii="Verdana" w:hAnsi="Verdana" w:cs="Arial"/>
                <w:sz w:val="22"/>
                <w:szCs w:val="22"/>
                <w:lang w:eastAsia="es-CO"/>
              </w:rPr>
              <w:t>(…)</w:t>
            </w:r>
          </w:p>
          <w:p w14:paraId="30A07EA4" w14:textId="03953DBB" w:rsidR="4095ADAA" w:rsidRPr="00EA3808" w:rsidRDefault="4095ADAA" w:rsidP="4095ADAA">
            <w:pPr>
              <w:ind w:left="360"/>
              <w:jc w:val="both"/>
              <w:rPr>
                <w:rFonts w:ascii="Verdana" w:hAnsi="Verdana" w:cs="Arial"/>
                <w:sz w:val="22"/>
                <w:szCs w:val="22"/>
                <w:lang w:eastAsia="es-CO"/>
              </w:rPr>
            </w:pPr>
          </w:p>
          <w:p w14:paraId="7952447A" w14:textId="4F72587E" w:rsidR="35815E52" w:rsidRPr="00EA3808" w:rsidRDefault="35815E52" w:rsidP="4095ADAA">
            <w:pPr>
              <w:spacing w:line="300" w:lineRule="auto"/>
              <w:jc w:val="both"/>
              <w:rPr>
                <w:rFonts w:ascii="Verdana" w:eastAsia="Verdana" w:hAnsi="Verdana" w:cs="Verdana"/>
                <w:sz w:val="21"/>
                <w:szCs w:val="21"/>
              </w:rPr>
            </w:pPr>
            <w:r w:rsidRPr="00EA3808">
              <w:rPr>
                <w:rFonts w:ascii="Verdana" w:eastAsia="Verdana" w:hAnsi="Verdana" w:cs="Verdana"/>
                <w:sz w:val="21"/>
                <w:szCs w:val="21"/>
              </w:rPr>
              <w:t>El artículo 2 de la Ley citada establece que corresponde a este Ministerio definir las políticas y regulaciones a las que se sujetarán la conservación, protección, ordenamiento, manejo, uso y aprovechamiento sostenible de los recursos naturales renovables y del ambiente.</w:t>
            </w:r>
          </w:p>
          <w:p w14:paraId="5C08B216" w14:textId="342EBA32" w:rsidR="4095ADAA" w:rsidRPr="00EA3808" w:rsidRDefault="4095ADAA" w:rsidP="4095ADAA">
            <w:pPr>
              <w:ind w:left="360"/>
              <w:jc w:val="both"/>
              <w:rPr>
                <w:rFonts w:ascii="Verdana" w:hAnsi="Verdana" w:cs="Arial"/>
                <w:sz w:val="22"/>
                <w:szCs w:val="22"/>
                <w:lang w:eastAsia="es-CO"/>
              </w:rPr>
            </w:pPr>
          </w:p>
          <w:p w14:paraId="65DAFDBD" w14:textId="77777777" w:rsidR="00C43FCC" w:rsidRPr="00EA3808" w:rsidRDefault="00C43FCC" w:rsidP="4095ADAA">
            <w:pPr>
              <w:ind w:left="360"/>
              <w:jc w:val="both"/>
              <w:rPr>
                <w:rFonts w:ascii="Verdana" w:hAnsi="Verdana" w:cs="Arial"/>
                <w:sz w:val="22"/>
                <w:szCs w:val="22"/>
                <w:highlight w:val="yellow"/>
                <w:lang w:eastAsia="es-CO"/>
              </w:rPr>
            </w:pPr>
          </w:p>
          <w:p w14:paraId="1D451C9F" w14:textId="77777777" w:rsidR="00C43FCC" w:rsidRPr="00EA3808" w:rsidRDefault="73644FC5" w:rsidP="00C43FCC">
            <w:pPr>
              <w:ind w:left="360"/>
              <w:jc w:val="both"/>
              <w:rPr>
                <w:rFonts w:ascii="Verdana" w:hAnsi="Verdana" w:cs="Arial"/>
                <w:sz w:val="22"/>
                <w:szCs w:val="22"/>
                <w:lang w:eastAsia="es-CO"/>
              </w:rPr>
            </w:pPr>
            <w:r w:rsidRPr="00EA3808">
              <w:rPr>
                <w:rFonts w:ascii="Verdana" w:hAnsi="Verdana" w:cs="Arial"/>
                <w:sz w:val="22"/>
                <w:szCs w:val="22"/>
                <w:lang w:eastAsia="es-CO"/>
              </w:rPr>
              <w:t>Que el artículo 5 de la Ley 99 de 1993</w:t>
            </w:r>
            <w:r w:rsidR="7AC17C48" w:rsidRPr="00EA3808">
              <w:rPr>
                <w:rFonts w:ascii="Verdana" w:hAnsi="Verdana" w:cs="Arial"/>
                <w:sz w:val="22"/>
                <w:szCs w:val="22"/>
                <w:lang w:eastAsia="es-CO"/>
              </w:rPr>
              <w:t xml:space="preserve"> determina</w:t>
            </w:r>
            <w:r w:rsidR="782461EC" w:rsidRPr="00EA3808">
              <w:rPr>
                <w:rFonts w:ascii="Verdana" w:hAnsi="Verdana" w:cs="Arial"/>
                <w:sz w:val="22"/>
                <w:szCs w:val="22"/>
                <w:lang w:eastAsia="es-CO"/>
              </w:rPr>
              <w:t>, entre otras,</w:t>
            </w:r>
            <w:r w:rsidR="7AC17C48" w:rsidRPr="00EA3808">
              <w:rPr>
                <w:rFonts w:ascii="Verdana" w:hAnsi="Verdana" w:cs="Arial"/>
                <w:sz w:val="22"/>
                <w:szCs w:val="22"/>
                <w:lang w:eastAsia="es-CO"/>
              </w:rPr>
              <w:t xml:space="preserve"> las siguientes funciones correspondientes al Ministerio de Ambiente:</w:t>
            </w:r>
          </w:p>
          <w:p w14:paraId="7F67B4E2" w14:textId="77777777" w:rsidR="00B17CC6" w:rsidRPr="00EA3808" w:rsidRDefault="00B17CC6" w:rsidP="00C43FCC">
            <w:pPr>
              <w:ind w:left="360"/>
              <w:jc w:val="both"/>
              <w:rPr>
                <w:rFonts w:ascii="Verdana" w:hAnsi="Verdana" w:cs="Arial"/>
                <w:sz w:val="22"/>
                <w:szCs w:val="22"/>
                <w:lang w:eastAsia="es-CO"/>
              </w:rPr>
            </w:pPr>
          </w:p>
          <w:p w14:paraId="489339FD" w14:textId="77777777" w:rsidR="00E00B26" w:rsidRPr="00EA3808" w:rsidRDefault="782461EC" w:rsidP="4095ADAA">
            <w:pPr>
              <w:ind w:left="360"/>
              <w:jc w:val="both"/>
              <w:rPr>
                <w:rFonts w:ascii="Verdana" w:hAnsi="Verdana" w:cs="Arial"/>
                <w:i/>
                <w:iCs/>
                <w:sz w:val="22"/>
                <w:szCs w:val="22"/>
                <w:lang w:val="es-CO" w:eastAsia="es-CO"/>
              </w:rPr>
            </w:pPr>
            <w:r w:rsidRPr="00EA3808">
              <w:rPr>
                <w:rFonts w:ascii="Verdana" w:hAnsi="Verdana" w:cs="Arial"/>
                <w:sz w:val="22"/>
                <w:szCs w:val="22"/>
                <w:lang w:val="es-CO" w:eastAsia="es-CO"/>
              </w:rPr>
              <w:t>«</w:t>
            </w:r>
            <w:r w:rsidRPr="00EA3808">
              <w:rPr>
                <w:rFonts w:ascii="Verdana" w:hAnsi="Verdana" w:cs="Arial"/>
                <w:i/>
                <w:iCs/>
                <w:sz w:val="22"/>
                <w:szCs w:val="22"/>
                <w:lang w:val="es-CO" w:eastAsia="es-CO"/>
              </w:rPr>
              <w:t>1. Formular la política nacional en relación con el medio ambiente y los recursos naturales renovables, y establecer las reglas y criterios de ordenamiento ambiental de uso del territorio y de los mares adyacentes, para asegurar el aprovechamiento sostenible de los recursos naturales renovables y del medio ambiente;</w:t>
            </w:r>
          </w:p>
          <w:p w14:paraId="53246A5D" w14:textId="77777777" w:rsidR="00E00B26" w:rsidRPr="00EA3808" w:rsidRDefault="00E00B26" w:rsidP="00C43FCC">
            <w:pPr>
              <w:ind w:left="360"/>
              <w:jc w:val="both"/>
              <w:rPr>
                <w:rFonts w:ascii="Verdana" w:hAnsi="Verdana" w:cs="Arial"/>
                <w:sz w:val="22"/>
                <w:szCs w:val="22"/>
                <w:lang w:val="es-CO" w:eastAsia="es-CO"/>
              </w:rPr>
            </w:pPr>
          </w:p>
          <w:p w14:paraId="37114841" w14:textId="77777777" w:rsidR="00E00B26" w:rsidRPr="00EA3808" w:rsidRDefault="782461EC" w:rsidP="4095ADAA">
            <w:pPr>
              <w:ind w:left="360"/>
              <w:jc w:val="both"/>
              <w:rPr>
                <w:rFonts w:ascii="Verdana" w:hAnsi="Verdana" w:cs="Arial"/>
                <w:i/>
                <w:iCs/>
                <w:sz w:val="22"/>
                <w:szCs w:val="22"/>
                <w:lang w:val="es-CO" w:eastAsia="es-CO"/>
              </w:rPr>
            </w:pPr>
            <w:r w:rsidRPr="00EA3808">
              <w:rPr>
                <w:rFonts w:ascii="Verdana" w:hAnsi="Verdana" w:cs="Arial"/>
                <w:sz w:val="22"/>
                <w:szCs w:val="22"/>
                <w:lang w:val="es-CO" w:eastAsia="es-CO"/>
              </w:rPr>
              <w:t>«</w:t>
            </w:r>
            <w:r w:rsidRPr="00EA3808">
              <w:rPr>
                <w:rFonts w:ascii="Verdana" w:hAnsi="Verdana" w:cs="Arial"/>
                <w:i/>
                <w:iCs/>
                <w:sz w:val="22"/>
                <w:szCs w:val="22"/>
                <w:lang w:val="es-CO" w:eastAsia="es-CO"/>
              </w:rPr>
              <w:t xml:space="preserve">2. Regular las condiciones generales para el saneamiento del medio ambiente, y el uso, manejo, aprovechamiento, conservación, restauración y recuperación de los recursos naturales, a fin de impedir, reprimir, eliminar o mitigar el impacto de actividades contaminantes, </w:t>
            </w:r>
            <w:proofErr w:type="spellStart"/>
            <w:r w:rsidRPr="00EA3808">
              <w:rPr>
                <w:rFonts w:ascii="Verdana" w:hAnsi="Verdana" w:cs="Arial"/>
                <w:i/>
                <w:iCs/>
                <w:sz w:val="22"/>
                <w:szCs w:val="22"/>
                <w:lang w:val="es-CO" w:eastAsia="es-CO"/>
              </w:rPr>
              <w:t>deteriorantes</w:t>
            </w:r>
            <w:proofErr w:type="spellEnd"/>
            <w:r w:rsidRPr="00EA3808">
              <w:rPr>
                <w:rFonts w:ascii="Verdana" w:hAnsi="Verdana" w:cs="Arial"/>
                <w:i/>
                <w:iCs/>
                <w:sz w:val="22"/>
                <w:szCs w:val="22"/>
                <w:lang w:val="es-CO" w:eastAsia="es-CO"/>
              </w:rPr>
              <w:t xml:space="preserve"> o destructivas del entorno o del patrimonio natural;</w:t>
            </w:r>
          </w:p>
          <w:p w14:paraId="2D0DB09E" w14:textId="77777777" w:rsidR="00E00B26" w:rsidRPr="00EA3808" w:rsidRDefault="00E00B26" w:rsidP="00C43FCC">
            <w:pPr>
              <w:ind w:left="360"/>
              <w:jc w:val="both"/>
              <w:rPr>
                <w:rFonts w:ascii="Verdana" w:hAnsi="Verdana" w:cs="Arial"/>
                <w:sz w:val="22"/>
                <w:szCs w:val="22"/>
                <w:lang w:val="es-CO" w:eastAsia="es-CO"/>
              </w:rPr>
            </w:pPr>
          </w:p>
          <w:p w14:paraId="013D706C" w14:textId="77777777" w:rsidR="00E00B26" w:rsidRPr="00EA3808" w:rsidRDefault="782461EC" w:rsidP="00C43FCC">
            <w:pPr>
              <w:ind w:left="360"/>
              <w:jc w:val="both"/>
              <w:rPr>
                <w:rFonts w:ascii="Verdana" w:hAnsi="Verdana" w:cs="Arial"/>
                <w:sz w:val="22"/>
                <w:szCs w:val="22"/>
                <w:lang w:val="es-CO" w:eastAsia="es-CO"/>
              </w:rPr>
            </w:pPr>
            <w:r w:rsidRPr="00EA3808">
              <w:rPr>
                <w:rFonts w:ascii="Verdana" w:hAnsi="Verdana" w:cs="Arial"/>
                <w:sz w:val="22"/>
                <w:szCs w:val="22"/>
                <w:lang w:val="es-CO" w:eastAsia="es-CO"/>
              </w:rPr>
              <w:t>(…)</w:t>
            </w:r>
          </w:p>
          <w:p w14:paraId="2D0E9C9A" w14:textId="77777777" w:rsidR="00E00B26" w:rsidRPr="00EA3808" w:rsidRDefault="00E00B26" w:rsidP="00C43FCC">
            <w:pPr>
              <w:ind w:left="360"/>
              <w:jc w:val="both"/>
              <w:rPr>
                <w:rFonts w:ascii="Verdana" w:hAnsi="Verdana" w:cs="Arial"/>
                <w:sz w:val="22"/>
                <w:szCs w:val="22"/>
                <w:lang w:val="es-CO" w:eastAsia="es-CO"/>
              </w:rPr>
            </w:pPr>
          </w:p>
          <w:p w14:paraId="249A90B9" w14:textId="77777777" w:rsidR="00E00B26" w:rsidRPr="00EA3808" w:rsidRDefault="782461EC" w:rsidP="4095ADAA">
            <w:pPr>
              <w:ind w:left="360"/>
              <w:jc w:val="both"/>
              <w:rPr>
                <w:rFonts w:ascii="Verdana" w:hAnsi="Verdana" w:cs="Arial"/>
                <w:i/>
                <w:iCs/>
                <w:sz w:val="22"/>
                <w:szCs w:val="22"/>
                <w:lang w:val="es-CO" w:eastAsia="es-CO"/>
              </w:rPr>
            </w:pPr>
            <w:r w:rsidRPr="00EA3808">
              <w:rPr>
                <w:rFonts w:ascii="Verdana" w:hAnsi="Verdana" w:cs="Arial"/>
                <w:sz w:val="22"/>
                <w:szCs w:val="22"/>
                <w:lang w:val="es-CO" w:eastAsia="es-CO"/>
              </w:rPr>
              <w:t>«</w:t>
            </w:r>
            <w:r w:rsidRPr="00EA3808">
              <w:rPr>
                <w:rFonts w:ascii="Verdana" w:hAnsi="Verdana" w:cs="Arial"/>
                <w:i/>
                <w:iCs/>
                <w:sz w:val="22"/>
                <w:szCs w:val="22"/>
                <w:lang w:val="es-CO" w:eastAsia="es-CO"/>
              </w:rPr>
              <w:t>12. Expedir y actualizar el estatuto de zonificación de uso adecuado del territorio para su apropiado ordenamiento y las regulaciones nacionales sobre uso del suelo en lo concerniente a sus aspectos ambientales y fijar las pautas generales para el ordenamiento y manejo de cuencas hidrográficas y demás áreas de manejo especial;</w:t>
            </w:r>
          </w:p>
          <w:p w14:paraId="58AEC0D7" w14:textId="77777777" w:rsidR="00E00B26" w:rsidRPr="00EA3808" w:rsidRDefault="00E00B26" w:rsidP="00C43FCC">
            <w:pPr>
              <w:ind w:left="360"/>
              <w:jc w:val="both"/>
              <w:rPr>
                <w:rFonts w:ascii="Verdana" w:hAnsi="Verdana" w:cs="Arial"/>
                <w:sz w:val="22"/>
                <w:szCs w:val="22"/>
                <w:lang w:val="es-CO" w:eastAsia="es-CO"/>
              </w:rPr>
            </w:pPr>
          </w:p>
          <w:p w14:paraId="4328E012" w14:textId="77777777" w:rsidR="00E00B26" w:rsidRPr="00EA3808" w:rsidRDefault="782461EC" w:rsidP="00C43FCC">
            <w:pPr>
              <w:ind w:left="360"/>
              <w:jc w:val="both"/>
              <w:rPr>
                <w:rFonts w:ascii="Verdana" w:hAnsi="Verdana" w:cs="Arial"/>
                <w:sz w:val="22"/>
                <w:szCs w:val="22"/>
                <w:lang w:val="es-CO" w:eastAsia="es-CO"/>
              </w:rPr>
            </w:pPr>
            <w:r w:rsidRPr="00EA3808">
              <w:rPr>
                <w:rFonts w:ascii="Verdana" w:hAnsi="Verdana" w:cs="Arial"/>
                <w:sz w:val="22"/>
                <w:szCs w:val="22"/>
                <w:lang w:val="es-CO" w:eastAsia="es-CO"/>
              </w:rPr>
              <w:t>(…)</w:t>
            </w:r>
          </w:p>
          <w:p w14:paraId="1228DA2C" w14:textId="77777777" w:rsidR="00E00B26" w:rsidRPr="00EA3808" w:rsidRDefault="00E00B26" w:rsidP="00C43FCC">
            <w:pPr>
              <w:ind w:left="360"/>
              <w:jc w:val="both"/>
              <w:rPr>
                <w:rFonts w:ascii="Verdana" w:hAnsi="Verdana" w:cs="Arial"/>
                <w:sz w:val="22"/>
                <w:szCs w:val="22"/>
                <w:lang w:val="es-CO" w:eastAsia="es-CO"/>
              </w:rPr>
            </w:pPr>
          </w:p>
          <w:p w14:paraId="44469656" w14:textId="77777777" w:rsidR="00E00B26" w:rsidRPr="00EA3808" w:rsidRDefault="782461EC" w:rsidP="4095ADAA">
            <w:pPr>
              <w:ind w:left="360"/>
              <w:jc w:val="both"/>
              <w:rPr>
                <w:rFonts w:ascii="Verdana" w:hAnsi="Verdana" w:cs="Arial"/>
                <w:i/>
                <w:iCs/>
                <w:sz w:val="22"/>
                <w:szCs w:val="22"/>
                <w:lang w:val="es-CO" w:eastAsia="es-CO"/>
              </w:rPr>
            </w:pPr>
            <w:r w:rsidRPr="00EA3808">
              <w:rPr>
                <w:rFonts w:ascii="Verdana" w:hAnsi="Verdana" w:cs="Arial"/>
                <w:sz w:val="22"/>
                <w:szCs w:val="22"/>
                <w:lang w:val="es-CO" w:eastAsia="es-CO"/>
              </w:rPr>
              <w:t>«</w:t>
            </w:r>
            <w:r w:rsidRPr="00EA3808">
              <w:rPr>
                <w:rFonts w:ascii="Verdana" w:hAnsi="Verdana" w:cs="Arial"/>
                <w:i/>
                <w:iCs/>
                <w:sz w:val="22"/>
                <w:szCs w:val="22"/>
                <w:lang w:val="es-CO" w:eastAsia="es-CO"/>
              </w:rPr>
              <w:t>14. Definir y regular los instrumentos administrativos y mecanismos necesarios para la prevención y el control de los factores de deterioro ambiental y determinar los criterios de evaluación, seguimiento y manejo ambientales de las actividades económicas;</w:t>
            </w:r>
          </w:p>
          <w:p w14:paraId="63023E9A" w14:textId="77777777" w:rsidR="00E00B26" w:rsidRPr="00EA3808" w:rsidRDefault="00E00B26" w:rsidP="00C43FCC">
            <w:pPr>
              <w:ind w:left="360"/>
              <w:jc w:val="both"/>
              <w:rPr>
                <w:rFonts w:ascii="Verdana" w:hAnsi="Verdana" w:cs="Arial"/>
                <w:sz w:val="22"/>
                <w:szCs w:val="22"/>
                <w:lang w:val="es-CO" w:eastAsia="es-CO"/>
              </w:rPr>
            </w:pPr>
          </w:p>
          <w:p w14:paraId="68288038" w14:textId="77777777" w:rsidR="00B17CC6" w:rsidRPr="00EA3808" w:rsidRDefault="782461EC" w:rsidP="00C43FCC">
            <w:pPr>
              <w:ind w:left="360"/>
              <w:jc w:val="both"/>
              <w:rPr>
                <w:rFonts w:ascii="Verdana" w:hAnsi="Verdana" w:cs="Arial"/>
                <w:sz w:val="22"/>
                <w:szCs w:val="22"/>
                <w:lang w:val="es-CO" w:eastAsia="es-CO"/>
              </w:rPr>
            </w:pPr>
            <w:r w:rsidRPr="00EA3808">
              <w:rPr>
                <w:rFonts w:ascii="Verdana" w:hAnsi="Verdana" w:cs="Arial"/>
                <w:sz w:val="22"/>
                <w:szCs w:val="22"/>
                <w:lang w:val="es-CO" w:eastAsia="es-CO"/>
              </w:rPr>
              <w:t>(…)</w:t>
            </w:r>
          </w:p>
          <w:p w14:paraId="74CBE238" w14:textId="77777777" w:rsidR="00E00B26" w:rsidRPr="00EA3808" w:rsidRDefault="00E00B26" w:rsidP="00C43FCC">
            <w:pPr>
              <w:ind w:left="360"/>
              <w:jc w:val="both"/>
              <w:rPr>
                <w:rFonts w:ascii="Verdana" w:hAnsi="Verdana" w:cs="Arial"/>
                <w:sz w:val="22"/>
                <w:szCs w:val="22"/>
                <w:lang w:val="es-CO" w:eastAsia="es-CO"/>
              </w:rPr>
            </w:pPr>
          </w:p>
          <w:p w14:paraId="4CB2848A" w14:textId="77777777" w:rsidR="00E00B26" w:rsidRPr="00EA3808" w:rsidRDefault="782461EC" w:rsidP="4095ADAA">
            <w:pPr>
              <w:ind w:left="360"/>
              <w:jc w:val="both"/>
              <w:rPr>
                <w:rFonts w:ascii="Verdana" w:hAnsi="Verdana" w:cs="Arial"/>
                <w:i/>
                <w:iCs/>
                <w:sz w:val="22"/>
                <w:szCs w:val="22"/>
                <w:lang w:val="es-CO" w:eastAsia="es-CO"/>
              </w:rPr>
            </w:pPr>
            <w:r w:rsidRPr="00EA3808">
              <w:rPr>
                <w:rFonts w:ascii="Verdana" w:hAnsi="Verdana" w:cs="Arial"/>
                <w:sz w:val="22"/>
                <w:szCs w:val="22"/>
                <w:lang w:val="es-CO" w:eastAsia="es-CO"/>
              </w:rPr>
              <w:t>«</w:t>
            </w:r>
            <w:r w:rsidRPr="00EA3808">
              <w:rPr>
                <w:rFonts w:ascii="Verdana" w:hAnsi="Verdana" w:cs="Arial"/>
                <w:i/>
                <w:iCs/>
                <w:sz w:val="22"/>
                <w:szCs w:val="22"/>
                <w:lang w:val="es-CO" w:eastAsia="es-CO"/>
              </w:rPr>
              <w:t>19. Administrar las áreas que integran el Sistema de Parques Nacionales Naturales, velar por la protección del patrimonio natural y la diversidad biótica de la Nación, así como por la conservación de las áreas de especial importancia ecosistémica.</w:t>
            </w:r>
          </w:p>
          <w:p w14:paraId="77938842" w14:textId="77777777" w:rsidR="004D4273" w:rsidRPr="00EA3808" w:rsidRDefault="004D4273" w:rsidP="4095ADAA">
            <w:pPr>
              <w:ind w:left="360"/>
              <w:jc w:val="both"/>
              <w:rPr>
                <w:rFonts w:ascii="Verdana" w:hAnsi="Verdana" w:cs="Arial"/>
                <w:i/>
                <w:iCs/>
                <w:sz w:val="22"/>
                <w:szCs w:val="22"/>
                <w:lang w:eastAsia="es-CO"/>
              </w:rPr>
            </w:pPr>
          </w:p>
          <w:p w14:paraId="71DF3BEB" w14:textId="77777777" w:rsidR="00E00B26" w:rsidRPr="00EA3808" w:rsidRDefault="782461EC" w:rsidP="00E00B26">
            <w:pPr>
              <w:ind w:left="360"/>
              <w:jc w:val="both"/>
              <w:rPr>
                <w:rFonts w:ascii="Verdana" w:hAnsi="Verdana" w:cs="Arial"/>
                <w:sz w:val="22"/>
                <w:szCs w:val="22"/>
                <w:lang w:val="es-CO" w:eastAsia="es-CO"/>
              </w:rPr>
            </w:pPr>
            <w:r w:rsidRPr="00EA3808">
              <w:rPr>
                <w:rFonts w:ascii="Verdana" w:hAnsi="Verdana" w:cs="Arial"/>
                <w:sz w:val="22"/>
                <w:szCs w:val="22"/>
                <w:lang w:val="es-CO" w:eastAsia="es-CO"/>
              </w:rPr>
              <w:lastRenderedPageBreak/>
              <w:t>(…)</w:t>
            </w:r>
          </w:p>
          <w:p w14:paraId="1C0A8E99" w14:textId="77777777" w:rsidR="00E00B26" w:rsidRPr="00EA3808" w:rsidRDefault="00E00B26" w:rsidP="00E00B26">
            <w:pPr>
              <w:jc w:val="both"/>
              <w:rPr>
                <w:rFonts w:ascii="Verdana" w:hAnsi="Verdana" w:cs="Arial"/>
                <w:sz w:val="22"/>
                <w:szCs w:val="22"/>
                <w:lang w:eastAsia="es-CO"/>
              </w:rPr>
            </w:pPr>
          </w:p>
          <w:p w14:paraId="73469690" w14:textId="6785BD33" w:rsidR="780C083B" w:rsidRPr="00EA3808" w:rsidRDefault="780C083B" w:rsidP="4095ADAA">
            <w:pPr>
              <w:jc w:val="both"/>
              <w:rPr>
                <w:rFonts w:ascii="Verdana" w:hAnsi="Verdana"/>
              </w:rPr>
            </w:pPr>
            <w:r w:rsidRPr="00EA3808">
              <w:rPr>
                <w:rFonts w:ascii="Verdana" w:hAnsi="Verdana" w:cs="Arial"/>
                <w:b/>
                <w:bCs/>
                <w:sz w:val="22"/>
                <w:szCs w:val="22"/>
                <w:lang w:eastAsia="es-CO"/>
              </w:rPr>
              <w:t>La Ley 1450 de 2011</w:t>
            </w:r>
          </w:p>
          <w:p w14:paraId="22864384" w14:textId="0530CA63" w:rsidR="4095ADAA" w:rsidRPr="00EA3808" w:rsidRDefault="4095ADAA" w:rsidP="4095ADAA">
            <w:pPr>
              <w:jc w:val="both"/>
              <w:rPr>
                <w:rFonts w:ascii="Verdana" w:hAnsi="Verdana" w:cs="Arial"/>
                <w:b/>
                <w:bCs/>
                <w:sz w:val="22"/>
                <w:szCs w:val="22"/>
                <w:lang w:eastAsia="es-CO"/>
              </w:rPr>
            </w:pPr>
          </w:p>
          <w:p w14:paraId="74A0BFA0" w14:textId="77777777" w:rsidR="780C083B" w:rsidRPr="00EA3808" w:rsidRDefault="46DCBDD5" w:rsidP="086CF79C">
            <w:pPr>
              <w:ind w:left="360"/>
              <w:jc w:val="both"/>
              <w:rPr>
                <w:rFonts w:ascii="Verdana" w:hAnsi="Verdana" w:cs="Arial"/>
                <w:sz w:val="22"/>
                <w:szCs w:val="22"/>
                <w:lang w:val="es-CO" w:eastAsia="es-CO"/>
              </w:rPr>
            </w:pPr>
            <w:r w:rsidRPr="00EA3808">
              <w:rPr>
                <w:rFonts w:ascii="Verdana" w:hAnsi="Verdana" w:cs="Arial"/>
                <w:sz w:val="22"/>
                <w:szCs w:val="22"/>
                <w:lang w:val="es-CO" w:eastAsia="es-CO"/>
              </w:rPr>
              <w:t>(…)</w:t>
            </w:r>
          </w:p>
          <w:p w14:paraId="35339956" w14:textId="361886BC" w:rsidR="46DCBDD5" w:rsidRPr="00EA3808" w:rsidRDefault="00FC6381" w:rsidP="00FC6381">
            <w:pPr>
              <w:ind w:left="406"/>
              <w:jc w:val="both"/>
              <w:rPr>
                <w:rFonts w:ascii="Verdana" w:hAnsi="Verdana"/>
              </w:rPr>
            </w:pPr>
            <w:r w:rsidRPr="00EA3808">
              <w:rPr>
                <w:rFonts w:ascii="Verdana" w:hAnsi="Verdana" w:cs="Arial"/>
                <w:sz w:val="22"/>
                <w:szCs w:val="22"/>
                <w:lang w:val="es-CO" w:eastAsia="es-CO"/>
              </w:rPr>
              <w:t>«</w:t>
            </w:r>
            <w:r w:rsidR="46DCBDD5" w:rsidRPr="00FC6381">
              <w:rPr>
                <w:rFonts w:ascii="Verdana" w:eastAsia="Work Sans" w:hAnsi="Verdana" w:cs="Work Sans"/>
                <w:b/>
                <w:bCs/>
                <w:i/>
                <w:iCs/>
                <w:color w:val="333333"/>
                <w:sz w:val="22"/>
                <w:szCs w:val="22"/>
              </w:rPr>
              <w:t>ARTÍCULO 202.</w:t>
            </w:r>
            <w:r w:rsidR="46DCBDD5" w:rsidRPr="00FC6381">
              <w:rPr>
                <w:rFonts w:ascii="Verdana" w:eastAsia="Work Sans" w:hAnsi="Verdana" w:cs="Work Sans"/>
                <w:i/>
                <w:iCs/>
                <w:color w:val="333333"/>
                <w:sz w:val="22"/>
                <w:szCs w:val="22"/>
              </w:rPr>
              <w:t xml:space="preserve"> </w:t>
            </w:r>
            <w:r w:rsidR="46DCBDD5" w:rsidRPr="00FC6381">
              <w:rPr>
                <w:rFonts w:ascii="Verdana" w:eastAsia="Work Sans" w:hAnsi="Verdana" w:cs="Work Sans"/>
                <w:b/>
                <w:bCs/>
                <w:i/>
                <w:iCs/>
                <w:color w:val="333333"/>
                <w:sz w:val="22"/>
                <w:szCs w:val="22"/>
              </w:rPr>
              <w:t>Delimitación de Ecosistemas de Páramos y Humedales.</w:t>
            </w:r>
            <w:r w:rsidR="46DCBDD5" w:rsidRPr="00FC6381">
              <w:rPr>
                <w:rFonts w:ascii="Verdana" w:eastAsia="Work Sans" w:hAnsi="Verdana" w:cs="Work Sans"/>
                <w:i/>
                <w:iCs/>
                <w:color w:val="333333"/>
                <w:sz w:val="22"/>
                <w:szCs w:val="22"/>
              </w:rPr>
              <w:t xml:space="preserve"> Los ecosistemas de páramos y humedales deberán ser delimitados a escala 1:25.000 con base en estudios técnicos, económicos, sociales y ambientales adoptados por el Ministerio de Ambiente, Vivienda y Desarrollo Territorial o quien haga sus veces. La delimitación será adoptada por dicha entidad mediante acto administrativo</w:t>
            </w:r>
            <w:r w:rsidR="46DCBDD5" w:rsidRPr="00EA3808">
              <w:rPr>
                <w:rFonts w:ascii="Verdana" w:eastAsia="Work Sans" w:hAnsi="Verdana" w:cs="Work Sans"/>
                <w:color w:val="333333"/>
                <w:sz w:val="25"/>
                <w:szCs w:val="25"/>
              </w:rPr>
              <w:t>.</w:t>
            </w:r>
          </w:p>
          <w:p w14:paraId="13594E44" w14:textId="77777777" w:rsidR="46DCBDD5" w:rsidRPr="00EA3808" w:rsidRDefault="46DCBDD5" w:rsidP="00FC6381">
            <w:pPr>
              <w:ind w:left="406"/>
              <w:jc w:val="both"/>
              <w:rPr>
                <w:rFonts w:ascii="Verdana" w:hAnsi="Verdana" w:cs="Arial"/>
                <w:sz w:val="22"/>
                <w:szCs w:val="22"/>
                <w:lang w:val="es-CO" w:eastAsia="es-CO"/>
              </w:rPr>
            </w:pPr>
            <w:r w:rsidRPr="00EA3808">
              <w:rPr>
                <w:rFonts w:ascii="Verdana" w:hAnsi="Verdana" w:cs="Arial"/>
                <w:sz w:val="22"/>
                <w:szCs w:val="22"/>
                <w:lang w:val="es-CO" w:eastAsia="es-CO"/>
              </w:rPr>
              <w:t>(…)</w:t>
            </w:r>
          </w:p>
          <w:p w14:paraId="56A02E8E" w14:textId="75F26657" w:rsidR="4095ADAA" w:rsidRPr="00EA3808" w:rsidRDefault="4095ADAA" w:rsidP="4095ADAA">
            <w:pPr>
              <w:jc w:val="both"/>
              <w:rPr>
                <w:rFonts w:ascii="Verdana" w:hAnsi="Verdana" w:cs="Arial"/>
                <w:b/>
                <w:bCs/>
                <w:sz w:val="22"/>
                <w:szCs w:val="22"/>
                <w:lang w:eastAsia="es-CO"/>
              </w:rPr>
            </w:pPr>
          </w:p>
          <w:p w14:paraId="5C0D5088" w14:textId="77777777" w:rsidR="005A4E26" w:rsidRPr="00EA3808" w:rsidRDefault="320786F5" w:rsidP="00E00B26">
            <w:pPr>
              <w:jc w:val="both"/>
              <w:rPr>
                <w:rFonts w:ascii="Verdana" w:hAnsi="Verdana" w:cs="Arial"/>
                <w:b/>
                <w:bCs/>
                <w:sz w:val="22"/>
                <w:szCs w:val="22"/>
                <w:lang w:eastAsia="es-CO"/>
              </w:rPr>
            </w:pPr>
            <w:r w:rsidRPr="00EA3808">
              <w:rPr>
                <w:rFonts w:ascii="Verdana" w:hAnsi="Verdana" w:cs="Arial"/>
                <w:b/>
                <w:bCs/>
                <w:sz w:val="22"/>
                <w:szCs w:val="22"/>
                <w:lang w:eastAsia="es-CO"/>
              </w:rPr>
              <w:t>Decreto 3570 de 2011</w:t>
            </w:r>
          </w:p>
          <w:p w14:paraId="05D76027" w14:textId="77777777" w:rsidR="005A4E26" w:rsidRPr="00EA3808" w:rsidRDefault="005A4E26" w:rsidP="00E00B26">
            <w:pPr>
              <w:jc w:val="both"/>
              <w:rPr>
                <w:rFonts w:ascii="Verdana" w:hAnsi="Verdana" w:cs="Arial"/>
                <w:b/>
                <w:bCs/>
                <w:sz w:val="22"/>
                <w:szCs w:val="22"/>
                <w:lang w:eastAsia="es-CO"/>
              </w:rPr>
            </w:pPr>
          </w:p>
          <w:p w14:paraId="32907D7A" w14:textId="77777777" w:rsidR="002F4444" w:rsidRPr="00EA3808" w:rsidRDefault="320786F5" w:rsidP="00E00B26">
            <w:pPr>
              <w:jc w:val="both"/>
              <w:rPr>
                <w:rFonts w:ascii="Verdana" w:hAnsi="Verdana" w:cs="Arial"/>
                <w:sz w:val="22"/>
                <w:szCs w:val="22"/>
                <w:lang w:eastAsia="es-CO"/>
              </w:rPr>
            </w:pPr>
            <w:r w:rsidRPr="00EA3808">
              <w:rPr>
                <w:rFonts w:ascii="Verdana" w:hAnsi="Verdana" w:cs="Arial"/>
                <w:sz w:val="22"/>
                <w:szCs w:val="22"/>
                <w:lang w:eastAsia="es-CO"/>
              </w:rPr>
              <w:t>Que el artículo 2 del Decreto 3570 de 2011 establece nuevas funciones del Ministerio de Ambiente y Desarrollo Sostenible, entre ellas:</w:t>
            </w:r>
          </w:p>
          <w:p w14:paraId="6C2A8BD5" w14:textId="77777777" w:rsidR="002F4444" w:rsidRPr="00EA3808" w:rsidRDefault="002F4444" w:rsidP="4095ADAA">
            <w:pPr>
              <w:jc w:val="both"/>
              <w:rPr>
                <w:rFonts w:ascii="Verdana" w:hAnsi="Verdana" w:cs="Arial"/>
                <w:i/>
                <w:iCs/>
                <w:sz w:val="22"/>
                <w:szCs w:val="22"/>
                <w:highlight w:val="yellow"/>
                <w:lang w:eastAsia="es-CO"/>
              </w:rPr>
            </w:pPr>
          </w:p>
          <w:p w14:paraId="37435467" w14:textId="77777777" w:rsidR="002F4444" w:rsidRPr="00EA3808" w:rsidRDefault="43502DB6" w:rsidP="002F4444">
            <w:pPr>
              <w:ind w:left="360"/>
              <w:jc w:val="both"/>
              <w:rPr>
                <w:rFonts w:ascii="Verdana" w:hAnsi="Verdana" w:cs="Arial"/>
                <w:sz w:val="22"/>
                <w:szCs w:val="22"/>
                <w:lang w:val="es-CO" w:eastAsia="es-CO"/>
              </w:rPr>
            </w:pPr>
            <w:r w:rsidRPr="00EA3808">
              <w:rPr>
                <w:rFonts w:ascii="Verdana" w:hAnsi="Verdana" w:cs="Arial"/>
                <w:sz w:val="22"/>
                <w:szCs w:val="22"/>
                <w:lang w:val="es-CO" w:eastAsia="es-CO"/>
              </w:rPr>
              <w:t>(…)</w:t>
            </w:r>
          </w:p>
          <w:p w14:paraId="6C36AD18" w14:textId="77777777" w:rsidR="002F4444" w:rsidRPr="00EA3808" w:rsidRDefault="43502DB6" w:rsidP="002F4444">
            <w:pPr>
              <w:ind w:left="360"/>
              <w:jc w:val="both"/>
              <w:rPr>
                <w:rFonts w:ascii="Verdana" w:hAnsi="Verdana" w:cs="Arial"/>
                <w:sz w:val="22"/>
                <w:szCs w:val="22"/>
                <w:lang w:val="es-CO" w:eastAsia="es-CO"/>
              </w:rPr>
            </w:pPr>
            <w:r w:rsidRPr="00EA3808">
              <w:rPr>
                <w:rFonts w:ascii="Verdana" w:hAnsi="Verdana" w:cs="Arial"/>
                <w:sz w:val="22"/>
                <w:szCs w:val="22"/>
                <w:lang w:val="es-CO" w:eastAsia="es-CO"/>
              </w:rPr>
              <w:t>«</w:t>
            </w:r>
            <w:r w:rsidRPr="00EA3808">
              <w:rPr>
                <w:rFonts w:ascii="Verdana" w:hAnsi="Verdana" w:cs="Arial"/>
                <w:i/>
                <w:iCs/>
                <w:sz w:val="22"/>
                <w:szCs w:val="22"/>
                <w:lang w:val="es-CO" w:eastAsia="es-CO"/>
              </w:rPr>
              <w:t xml:space="preserve">15. Elaborar los términos de referencia para la realización de los estudios con base en los cuales las autoridades ambientales declararán, reservarán, alinderarán, </w:t>
            </w:r>
            <w:proofErr w:type="spellStart"/>
            <w:r w:rsidRPr="00EA3808">
              <w:rPr>
                <w:rFonts w:ascii="Verdana" w:hAnsi="Verdana" w:cs="Arial"/>
                <w:i/>
                <w:iCs/>
                <w:sz w:val="22"/>
                <w:szCs w:val="22"/>
                <w:lang w:val="es-CO" w:eastAsia="es-CO"/>
              </w:rPr>
              <w:t>realinderarán</w:t>
            </w:r>
            <w:proofErr w:type="spellEnd"/>
            <w:r w:rsidRPr="00EA3808">
              <w:rPr>
                <w:rFonts w:ascii="Verdana" w:hAnsi="Verdana" w:cs="Arial"/>
                <w:i/>
                <w:iCs/>
                <w:sz w:val="22"/>
                <w:szCs w:val="22"/>
                <w:lang w:val="es-CO" w:eastAsia="es-CO"/>
              </w:rPr>
              <w:t>, sustraerán, integrarán o recategorizarán, las reservas forestales regionales y para la delimitación de los ecosistemas de páramo y humedales sin requerir la adopción de los mismos por parte del Ministerio.</w:t>
            </w:r>
          </w:p>
          <w:p w14:paraId="4CB39066" w14:textId="77777777" w:rsidR="002F4444" w:rsidRPr="00EA3808" w:rsidRDefault="43502DB6" w:rsidP="002F4444">
            <w:pPr>
              <w:ind w:left="360"/>
              <w:jc w:val="both"/>
              <w:rPr>
                <w:rFonts w:ascii="Verdana" w:hAnsi="Verdana" w:cs="Arial"/>
                <w:sz w:val="22"/>
                <w:szCs w:val="22"/>
                <w:lang w:val="es-CO" w:eastAsia="es-CO"/>
              </w:rPr>
            </w:pPr>
            <w:r w:rsidRPr="00EA3808">
              <w:rPr>
                <w:rFonts w:ascii="Verdana" w:hAnsi="Verdana" w:cs="Arial"/>
                <w:sz w:val="22"/>
                <w:szCs w:val="22"/>
                <w:lang w:val="es-CO" w:eastAsia="es-CO"/>
              </w:rPr>
              <w:t>«</w:t>
            </w:r>
            <w:r w:rsidRPr="00EA3808">
              <w:rPr>
                <w:rFonts w:ascii="Verdana" w:hAnsi="Verdana" w:cs="Arial"/>
                <w:i/>
                <w:iCs/>
                <w:sz w:val="22"/>
                <w:szCs w:val="22"/>
                <w:lang w:val="es-CO" w:eastAsia="es-CO"/>
              </w:rPr>
              <w:t>16. Expedir los actos administrativos para la delimitación de los páramos.</w:t>
            </w:r>
          </w:p>
          <w:p w14:paraId="5A18FFDF" w14:textId="77777777" w:rsidR="002F4444" w:rsidRPr="00EA3808" w:rsidRDefault="43502DB6" w:rsidP="002F4444">
            <w:pPr>
              <w:ind w:left="360"/>
              <w:jc w:val="both"/>
              <w:rPr>
                <w:rFonts w:ascii="Verdana" w:hAnsi="Verdana" w:cs="Arial"/>
                <w:sz w:val="22"/>
                <w:szCs w:val="22"/>
                <w:lang w:val="es-CO" w:eastAsia="es-CO"/>
              </w:rPr>
            </w:pPr>
            <w:r w:rsidRPr="00EA3808">
              <w:rPr>
                <w:rFonts w:ascii="Verdana" w:hAnsi="Verdana" w:cs="Arial"/>
                <w:sz w:val="22"/>
                <w:szCs w:val="22"/>
                <w:lang w:val="es-CO" w:eastAsia="es-CO"/>
              </w:rPr>
              <w:t>(…)</w:t>
            </w:r>
          </w:p>
          <w:p w14:paraId="0C1D05C0" w14:textId="77777777" w:rsidR="002F4444" w:rsidRPr="00EA3808" w:rsidRDefault="002F4444" w:rsidP="002F4444">
            <w:pPr>
              <w:jc w:val="both"/>
              <w:rPr>
                <w:rFonts w:ascii="Verdana" w:hAnsi="Verdana" w:cs="Arial"/>
                <w:sz w:val="22"/>
                <w:szCs w:val="22"/>
                <w:lang w:val="es-CO" w:eastAsia="es-CO"/>
              </w:rPr>
            </w:pPr>
          </w:p>
          <w:p w14:paraId="50725444" w14:textId="77777777" w:rsidR="002F4444" w:rsidRPr="00EA3808" w:rsidRDefault="04C5EE55" w:rsidP="002F4444">
            <w:pPr>
              <w:jc w:val="both"/>
              <w:rPr>
                <w:rFonts w:ascii="Verdana" w:hAnsi="Verdana" w:cs="Arial"/>
                <w:sz w:val="22"/>
                <w:szCs w:val="22"/>
                <w:lang w:val="es-CO" w:eastAsia="es-CO"/>
              </w:rPr>
            </w:pPr>
            <w:r w:rsidRPr="00EA3808">
              <w:rPr>
                <w:rFonts w:ascii="Verdana" w:hAnsi="Verdana" w:cs="Arial"/>
                <w:b/>
                <w:bCs/>
                <w:sz w:val="22"/>
                <w:szCs w:val="22"/>
                <w:lang w:val="es-CO" w:eastAsia="es-CO"/>
              </w:rPr>
              <w:t>Ley 1930 de 2018</w:t>
            </w:r>
            <w:r w:rsidR="43502DB6" w:rsidRPr="00EA3808">
              <w:rPr>
                <w:rFonts w:ascii="Verdana" w:hAnsi="Verdana" w:cs="Arial"/>
                <w:sz w:val="22"/>
                <w:szCs w:val="22"/>
                <w:lang w:val="es-CO" w:eastAsia="es-CO"/>
              </w:rPr>
              <w:t>:</w:t>
            </w:r>
          </w:p>
          <w:p w14:paraId="4D179369" w14:textId="77777777" w:rsidR="00D81F9F" w:rsidRPr="00EA3808" w:rsidRDefault="00D81F9F" w:rsidP="002F4444">
            <w:pPr>
              <w:jc w:val="both"/>
              <w:rPr>
                <w:rFonts w:ascii="Verdana" w:hAnsi="Verdana" w:cs="Arial"/>
                <w:sz w:val="22"/>
                <w:szCs w:val="22"/>
                <w:lang w:val="es-CO" w:eastAsia="es-CO"/>
              </w:rPr>
            </w:pPr>
          </w:p>
          <w:p w14:paraId="1C7F13C4" w14:textId="77777777" w:rsidR="00D81F9F" w:rsidRPr="00EA3808" w:rsidRDefault="04C5EE55" w:rsidP="002F4444">
            <w:pPr>
              <w:jc w:val="both"/>
              <w:rPr>
                <w:rFonts w:ascii="Verdana" w:hAnsi="Verdana" w:cs="Arial"/>
                <w:sz w:val="22"/>
                <w:szCs w:val="22"/>
                <w:lang w:val="es-CO" w:eastAsia="es-CO"/>
              </w:rPr>
            </w:pPr>
            <w:r w:rsidRPr="00EA3808">
              <w:rPr>
                <w:rFonts w:ascii="Verdana" w:hAnsi="Verdana" w:cs="Arial"/>
                <w:sz w:val="22"/>
                <w:szCs w:val="22"/>
                <w:lang w:val="es-CO" w:eastAsia="es-CO"/>
              </w:rPr>
              <w:t>Que la Ley 1930 de 2018 tiene por objeto establecer como ecosistemas estratégicos los páramos, así como fijar directrices que propendan por su integridad, preservación, restauración, uso sostenible y generación de conocimiento.</w:t>
            </w:r>
          </w:p>
          <w:p w14:paraId="5225F9E7" w14:textId="77777777" w:rsidR="00D81F9F" w:rsidRPr="00EA3808" w:rsidRDefault="00D81F9F" w:rsidP="002F4444">
            <w:pPr>
              <w:jc w:val="both"/>
              <w:rPr>
                <w:rFonts w:ascii="Verdana" w:hAnsi="Verdana" w:cs="Arial"/>
                <w:sz w:val="22"/>
                <w:szCs w:val="22"/>
                <w:lang w:val="es-CO" w:eastAsia="es-CO"/>
              </w:rPr>
            </w:pPr>
          </w:p>
          <w:p w14:paraId="15F0F97F" w14:textId="77777777" w:rsidR="00D81F9F" w:rsidRPr="00EA3808" w:rsidRDefault="04C5EE55" w:rsidP="002F4444">
            <w:pPr>
              <w:jc w:val="both"/>
              <w:rPr>
                <w:rFonts w:ascii="Verdana" w:hAnsi="Verdana" w:cs="Arial"/>
                <w:sz w:val="22"/>
                <w:szCs w:val="22"/>
                <w:lang w:val="es-CO" w:eastAsia="es-CO"/>
              </w:rPr>
            </w:pPr>
            <w:r w:rsidRPr="00EA3808">
              <w:rPr>
                <w:rFonts w:ascii="Verdana" w:hAnsi="Verdana" w:cs="Arial"/>
                <w:sz w:val="22"/>
                <w:szCs w:val="22"/>
                <w:lang w:val="es-CO" w:eastAsia="es-CO"/>
              </w:rPr>
              <w:t>Que el artículo 4 de la Ley 1930 de 2018 dispone:</w:t>
            </w:r>
          </w:p>
          <w:p w14:paraId="58A04A29" w14:textId="77777777" w:rsidR="002F4444" w:rsidRPr="00EA3808" w:rsidRDefault="002F4444" w:rsidP="002F4444">
            <w:pPr>
              <w:ind w:left="360"/>
              <w:jc w:val="both"/>
              <w:rPr>
                <w:rFonts w:ascii="Verdana" w:hAnsi="Verdana" w:cs="Arial"/>
                <w:sz w:val="22"/>
                <w:szCs w:val="22"/>
                <w:lang w:val="es-CO" w:eastAsia="es-CO"/>
              </w:rPr>
            </w:pPr>
          </w:p>
          <w:p w14:paraId="1849FC9C" w14:textId="77777777" w:rsidR="002F4444" w:rsidRPr="00EA3808" w:rsidRDefault="43502DB6" w:rsidP="002F4444">
            <w:pPr>
              <w:ind w:left="360"/>
              <w:jc w:val="both"/>
              <w:rPr>
                <w:rFonts w:ascii="Verdana" w:hAnsi="Verdana" w:cs="Arial"/>
                <w:sz w:val="22"/>
                <w:szCs w:val="22"/>
                <w:lang w:val="es-CO" w:eastAsia="es-CO"/>
              </w:rPr>
            </w:pPr>
            <w:r w:rsidRPr="00EA3808">
              <w:rPr>
                <w:rFonts w:ascii="Verdana" w:hAnsi="Verdana" w:cs="Arial"/>
                <w:sz w:val="22"/>
                <w:szCs w:val="22"/>
                <w:lang w:val="es-CO" w:eastAsia="es-CO"/>
              </w:rPr>
              <w:t>(…)</w:t>
            </w:r>
          </w:p>
          <w:p w14:paraId="0956ABD0" w14:textId="77777777" w:rsidR="002F4444" w:rsidRPr="00EA3808" w:rsidRDefault="43502DB6" w:rsidP="002F4444">
            <w:pPr>
              <w:ind w:left="360"/>
              <w:jc w:val="both"/>
              <w:rPr>
                <w:rFonts w:ascii="Verdana" w:hAnsi="Verdana" w:cs="Arial"/>
                <w:sz w:val="22"/>
                <w:szCs w:val="22"/>
                <w:lang w:val="es-CO" w:eastAsia="es-CO"/>
              </w:rPr>
            </w:pPr>
            <w:r w:rsidRPr="00EA3808">
              <w:rPr>
                <w:rFonts w:ascii="Verdana" w:hAnsi="Verdana" w:cs="Arial"/>
                <w:sz w:val="22"/>
                <w:szCs w:val="22"/>
                <w:lang w:val="es-CO" w:eastAsia="es-CO"/>
              </w:rPr>
              <w:t>«</w:t>
            </w:r>
            <w:r w:rsidR="04C5EE55" w:rsidRPr="00EA3808">
              <w:rPr>
                <w:rFonts w:ascii="Verdana" w:hAnsi="Verdana" w:cs="Arial"/>
                <w:i/>
                <w:iCs/>
                <w:sz w:val="22"/>
                <w:szCs w:val="22"/>
                <w:lang w:val="es-CO" w:eastAsia="es-CO"/>
              </w:rPr>
              <w:t>El ministerio de Ambiente y Desarrollo Sostenible hará la delimitación de los páramos (…)</w:t>
            </w:r>
          </w:p>
          <w:p w14:paraId="65496172" w14:textId="77777777" w:rsidR="00795C6B" w:rsidRPr="00EA3808" w:rsidRDefault="00795C6B" w:rsidP="4095ADAA">
            <w:pPr>
              <w:ind w:left="211"/>
              <w:jc w:val="both"/>
              <w:rPr>
                <w:rFonts w:ascii="Verdana" w:hAnsi="Verdana" w:cs="Arial"/>
                <w:sz w:val="22"/>
                <w:szCs w:val="22"/>
                <w:lang w:val="es-CO" w:eastAsia="es-CO"/>
              </w:rPr>
            </w:pPr>
          </w:p>
          <w:p w14:paraId="563A86C7" w14:textId="19C28EDD" w:rsidR="53934135" w:rsidRPr="00EA3808" w:rsidRDefault="53934135" w:rsidP="4095ADAA">
            <w:pPr>
              <w:spacing w:before="210" w:after="210" w:line="300" w:lineRule="auto"/>
              <w:jc w:val="both"/>
              <w:rPr>
                <w:rFonts w:ascii="Verdana" w:eastAsia="Verdana" w:hAnsi="Verdana" w:cs="Verdana"/>
                <w:sz w:val="21"/>
                <w:szCs w:val="21"/>
                <w:lang w:val="es-CO"/>
              </w:rPr>
            </w:pPr>
            <w:r w:rsidRPr="00EA3808">
              <w:rPr>
                <w:rFonts w:ascii="Verdana" w:eastAsia="Verdana" w:hAnsi="Verdana" w:cs="Verdana"/>
                <w:sz w:val="21"/>
                <w:szCs w:val="21"/>
                <w:lang w:val="es-CO"/>
              </w:rPr>
              <w:t xml:space="preserve">Finalmente, la Resolución 863 de 2026 estableció la metodología para la expedición de resoluciones de delimitación progresiva en los procesos de delimitación de ecosistemas de páramo, habilitando jurídicamente la adopción de actos administrativos de delimitación progresiva cuando se haya </w:t>
            </w:r>
            <w:r w:rsidRPr="00EA3808">
              <w:rPr>
                <w:rFonts w:ascii="Verdana" w:eastAsia="Verdana" w:hAnsi="Verdana" w:cs="Verdana"/>
                <w:sz w:val="21"/>
                <w:szCs w:val="21"/>
                <w:lang w:val="es-CO"/>
              </w:rPr>
              <w:lastRenderedPageBreak/>
              <w:t>culminado la concertación de los temas ineludibles definidos por la Sentencia T-361 de 2017, circunstancia que sustenta la expedición de la presente resolución.</w:t>
            </w:r>
          </w:p>
          <w:p w14:paraId="3BD72BAE" w14:textId="6918B7A8" w:rsidR="53934135" w:rsidRPr="00EA3808" w:rsidRDefault="53934135" w:rsidP="4095ADAA">
            <w:pPr>
              <w:spacing w:before="210" w:after="210" w:line="300" w:lineRule="auto"/>
              <w:jc w:val="both"/>
              <w:rPr>
                <w:rFonts w:ascii="Verdana" w:eastAsia="Verdana" w:hAnsi="Verdana" w:cs="Verdana"/>
                <w:sz w:val="21"/>
                <w:szCs w:val="21"/>
                <w:lang w:val="es-CO"/>
              </w:rPr>
            </w:pPr>
            <w:r w:rsidRPr="00EA3808">
              <w:rPr>
                <w:rFonts w:ascii="Verdana" w:eastAsia="Verdana" w:hAnsi="Verdana" w:cs="Verdana"/>
                <w:sz w:val="21"/>
                <w:szCs w:val="21"/>
                <w:lang w:val="es-CO"/>
              </w:rPr>
              <w:t>En conclusión, el Ministerio de Ambiente y Desarrollo Sostenible cuenta con competencia constitucional, legal, reglamentaria y judicial para expedir la presente resolución de delimitación progresiva del Complejo de Páramos Jurisdicciones–Santurbán–Berlín y adoptar las determinaciones necesarias para su protección y gestión integral.</w:t>
            </w:r>
          </w:p>
          <w:p w14:paraId="4B53B00E" w14:textId="45C3BE97" w:rsidR="4095ADAA" w:rsidRPr="00EA3808" w:rsidRDefault="4095ADAA" w:rsidP="4095ADAA">
            <w:pPr>
              <w:ind w:left="211"/>
              <w:jc w:val="both"/>
              <w:rPr>
                <w:rFonts w:ascii="Verdana" w:hAnsi="Verdana" w:cs="Arial"/>
                <w:sz w:val="22"/>
                <w:szCs w:val="22"/>
                <w:lang w:val="es-CO" w:eastAsia="es-CO"/>
              </w:rPr>
            </w:pPr>
          </w:p>
          <w:p w14:paraId="4B2C4C3F" w14:textId="77777777" w:rsidR="00795C6B" w:rsidRPr="00EA3808" w:rsidRDefault="75AF9E58" w:rsidP="005B25BE">
            <w:pPr>
              <w:numPr>
                <w:ilvl w:val="1"/>
                <w:numId w:val="2"/>
              </w:numPr>
              <w:jc w:val="both"/>
              <w:rPr>
                <w:rFonts w:ascii="Verdana" w:hAnsi="Verdana" w:cs="Arial"/>
                <w:b/>
                <w:bCs/>
                <w:sz w:val="22"/>
                <w:szCs w:val="22"/>
                <w:lang w:val="es-CO" w:eastAsia="es-CO"/>
              </w:rPr>
            </w:pPr>
            <w:r w:rsidRPr="00EA3808">
              <w:rPr>
                <w:rFonts w:ascii="Verdana" w:hAnsi="Verdana" w:cs="Arial"/>
                <w:b/>
                <w:bCs/>
                <w:sz w:val="22"/>
                <w:szCs w:val="22"/>
                <w:lang w:val="es-CO" w:eastAsia="es-CO"/>
              </w:rPr>
              <w:t>Vigencia de la ley o norma reglamentada o desarrollada</w:t>
            </w:r>
          </w:p>
          <w:p w14:paraId="7D75F40F" w14:textId="77777777" w:rsidR="00D81F9F" w:rsidRPr="00EA3808" w:rsidRDefault="00D81F9F" w:rsidP="00D81F9F">
            <w:pPr>
              <w:jc w:val="both"/>
              <w:rPr>
                <w:rFonts w:ascii="Verdana" w:hAnsi="Verdana" w:cs="Arial"/>
                <w:sz w:val="22"/>
                <w:szCs w:val="22"/>
                <w:lang w:val="es-CO" w:eastAsia="es-CO"/>
              </w:rPr>
            </w:pPr>
          </w:p>
          <w:p w14:paraId="3120E839" w14:textId="77777777" w:rsidR="00D81F9F" w:rsidRPr="00FC6381" w:rsidRDefault="04C5EE55" w:rsidP="00D81F9F">
            <w:pPr>
              <w:jc w:val="both"/>
              <w:rPr>
                <w:rFonts w:ascii="Verdana" w:eastAsia="Verdana" w:hAnsi="Verdana" w:cs="Verdana"/>
                <w:sz w:val="21"/>
                <w:szCs w:val="21"/>
                <w:lang w:val="es-CO"/>
              </w:rPr>
            </w:pPr>
            <w:r w:rsidRPr="00EA3808">
              <w:rPr>
                <w:rFonts w:ascii="Verdana" w:hAnsi="Verdana" w:cs="Arial"/>
                <w:sz w:val="22"/>
                <w:szCs w:val="22"/>
                <w:lang w:val="es-CO" w:eastAsia="es-CO"/>
              </w:rPr>
              <w:t>La Constitución Política de Colombia se e</w:t>
            </w:r>
            <w:r w:rsidR="63012512" w:rsidRPr="00EA3808">
              <w:rPr>
                <w:rFonts w:ascii="Verdana" w:hAnsi="Verdana" w:cs="Arial"/>
                <w:sz w:val="22"/>
                <w:szCs w:val="22"/>
                <w:lang w:val="es-CO" w:eastAsia="es-CO"/>
              </w:rPr>
              <w:t xml:space="preserve">ncuentra vigente. Su artículo 79 constituye el </w:t>
            </w:r>
            <w:r w:rsidR="63012512" w:rsidRPr="00FC6381">
              <w:rPr>
                <w:rFonts w:ascii="Verdana" w:eastAsia="Verdana" w:hAnsi="Verdana" w:cs="Verdana"/>
                <w:sz w:val="21"/>
                <w:szCs w:val="21"/>
                <w:lang w:val="es-CO"/>
              </w:rPr>
              <w:t>fundamento constitucional del derecho a gozar de un ambiente sano, la participación de la comunidad en las decisiones que puedan afectarlo y el deber del Estado en proteger la diversidad e integridad del ambiente y conservar las áreas de especial importancia ecológica.</w:t>
            </w:r>
          </w:p>
          <w:p w14:paraId="5679A773" w14:textId="77777777" w:rsidR="0051131A" w:rsidRPr="00FC6381" w:rsidRDefault="0051131A" w:rsidP="00D81F9F">
            <w:pPr>
              <w:jc w:val="both"/>
              <w:rPr>
                <w:rFonts w:ascii="Verdana" w:eastAsia="Verdana" w:hAnsi="Verdana" w:cs="Verdana"/>
                <w:sz w:val="21"/>
                <w:szCs w:val="21"/>
                <w:lang w:val="es-CO"/>
              </w:rPr>
            </w:pPr>
          </w:p>
          <w:p w14:paraId="1419D154" w14:textId="77777777" w:rsidR="0051131A" w:rsidRPr="00FC6381" w:rsidRDefault="63012512" w:rsidP="00D81F9F">
            <w:pPr>
              <w:jc w:val="both"/>
              <w:rPr>
                <w:rFonts w:ascii="Verdana" w:eastAsia="Verdana" w:hAnsi="Verdana" w:cs="Verdana"/>
                <w:sz w:val="21"/>
                <w:szCs w:val="21"/>
                <w:lang w:val="es-CO"/>
              </w:rPr>
            </w:pPr>
            <w:r w:rsidRPr="00FC6381">
              <w:rPr>
                <w:rFonts w:ascii="Verdana" w:eastAsia="Verdana" w:hAnsi="Verdana" w:cs="Verdana"/>
                <w:sz w:val="21"/>
                <w:szCs w:val="21"/>
                <w:lang w:val="es-CO"/>
              </w:rPr>
              <w:t>La Ley 99 de 1993 rige a partir de su promulgación, Diario Oficial No. 41.146 del 22 de diciembre de 1993. Los principios previstos en su artículo 1, así como las funciones del Ministerio de Ambiente y Desarrollo Sostenible establecidas en el artículo 5 citadas en el numeral anterior, se encuentran vigentes.</w:t>
            </w:r>
          </w:p>
          <w:p w14:paraId="3D80423B" w14:textId="77777777" w:rsidR="0051131A" w:rsidRPr="00FC6381" w:rsidRDefault="0051131A" w:rsidP="00D81F9F">
            <w:pPr>
              <w:jc w:val="both"/>
              <w:rPr>
                <w:rFonts w:ascii="Verdana" w:eastAsia="Verdana" w:hAnsi="Verdana" w:cs="Verdana"/>
                <w:sz w:val="21"/>
                <w:szCs w:val="21"/>
                <w:lang w:val="es-CO"/>
              </w:rPr>
            </w:pPr>
          </w:p>
          <w:p w14:paraId="1F68CECB" w14:textId="54316556" w:rsidR="4095ADAA" w:rsidRPr="00FC6381" w:rsidRDefault="4095ADAA" w:rsidP="4095ADAA">
            <w:pPr>
              <w:jc w:val="both"/>
              <w:rPr>
                <w:rFonts w:ascii="Verdana" w:eastAsia="Verdana" w:hAnsi="Verdana" w:cs="Verdana"/>
                <w:sz w:val="21"/>
                <w:szCs w:val="21"/>
                <w:lang w:val="es-CO"/>
              </w:rPr>
            </w:pPr>
          </w:p>
          <w:p w14:paraId="7C79AC8B" w14:textId="77777777" w:rsidR="0051131A" w:rsidRPr="00FC6381" w:rsidRDefault="63012512" w:rsidP="00D81F9F">
            <w:pPr>
              <w:jc w:val="both"/>
              <w:rPr>
                <w:rFonts w:ascii="Verdana" w:eastAsia="Verdana" w:hAnsi="Verdana" w:cs="Verdana"/>
                <w:sz w:val="21"/>
                <w:szCs w:val="21"/>
                <w:lang w:val="es-CO"/>
              </w:rPr>
            </w:pPr>
            <w:r w:rsidRPr="00FC6381">
              <w:rPr>
                <w:rFonts w:ascii="Verdana" w:eastAsia="Verdana" w:hAnsi="Verdana" w:cs="Verdana"/>
                <w:sz w:val="21"/>
                <w:szCs w:val="21"/>
                <w:lang w:val="es-CO"/>
              </w:rPr>
              <w:t>El Decreto Ley 3570 de 2011 rige a partir de su publicación, Diario Oficial 48.205 de 27 de septiembre de 2011, y los numerales 15 y 16 del artículo 2, citados en el numeral anterior, se encuentran vigentes.</w:t>
            </w:r>
          </w:p>
          <w:p w14:paraId="62DD4BE7" w14:textId="77777777" w:rsidR="0051131A" w:rsidRPr="00FC6381" w:rsidRDefault="0051131A" w:rsidP="00D81F9F">
            <w:pPr>
              <w:jc w:val="both"/>
              <w:rPr>
                <w:rFonts w:ascii="Verdana" w:eastAsia="Verdana" w:hAnsi="Verdana" w:cs="Verdana"/>
                <w:sz w:val="21"/>
                <w:szCs w:val="21"/>
                <w:lang w:val="es-CO"/>
              </w:rPr>
            </w:pPr>
          </w:p>
          <w:p w14:paraId="5EB5BD0D" w14:textId="77777777" w:rsidR="0051131A" w:rsidRPr="00FC6381" w:rsidRDefault="6832C506" w:rsidP="00D81F9F">
            <w:pPr>
              <w:jc w:val="both"/>
              <w:rPr>
                <w:rFonts w:ascii="Verdana" w:eastAsia="Verdana" w:hAnsi="Verdana" w:cs="Verdana"/>
                <w:sz w:val="21"/>
                <w:szCs w:val="21"/>
                <w:lang w:val="es-CO"/>
              </w:rPr>
            </w:pPr>
            <w:r w:rsidRPr="00FC6381">
              <w:rPr>
                <w:rFonts w:ascii="Verdana" w:eastAsia="Verdana" w:hAnsi="Verdana" w:cs="Verdana"/>
                <w:sz w:val="21"/>
                <w:szCs w:val="21"/>
                <w:lang w:val="es-CO"/>
              </w:rPr>
              <w:t>La Ley 1930 de 2018 rige a partir de su promulgación, Diario Oficial No. 50667 del 27 de julio de 2018, y su artículo 4, relativo a la delimitación de páramos por parte del Ministerio de Ambiente y Desarrollo Sostenible, se encuentra vigente.</w:t>
            </w:r>
          </w:p>
          <w:p w14:paraId="7D227748" w14:textId="77777777" w:rsidR="00795C6B" w:rsidRPr="00FC6381" w:rsidRDefault="00795C6B" w:rsidP="0075705D">
            <w:pPr>
              <w:ind w:left="494" w:hanging="283"/>
              <w:jc w:val="both"/>
              <w:rPr>
                <w:rFonts w:ascii="Verdana" w:eastAsia="Verdana" w:hAnsi="Verdana" w:cs="Verdana"/>
                <w:sz w:val="21"/>
                <w:szCs w:val="21"/>
                <w:lang w:val="es-CO"/>
              </w:rPr>
            </w:pPr>
          </w:p>
          <w:p w14:paraId="2E470403" w14:textId="77777777" w:rsidR="00795C6B" w:rsidRPr="00EA3808" w:rsidRDefault="5BA7B36B" w:rsidP="00FC6381">
            <w:pPr>
              <w:jc w:val="both"/>
              <w:rPr>
                <w:rFonts w:ascii="Verdana" w:hAnsi="Verdana" w:cs="Arial"/>
                <w:b/>
                <w:bCs/>
                <w:sz w:val="22"/>
                <w:szCs w:val="22"/>
                <w:lang w:val="es-CO" w:eastAsia="es-CO"/>
              </w:rPr>
            </w:pPr>
            <w:r w:rsidRPr="00EA3808">
              <w:rPr>
                <w:rFonts w:ascii="Verdana" w:hAnsi="Verdana" w:cs="Arial"/>
                <w:b/>
                <w:bCs/>
                <w:sz w:val="22"/>
                <w:szCs w:val="22"/>
                <w:lang w:val="es-CO" w:eastAsia="es-CO"/>
              </w:rPr>
              <w:t>3.3. Disposiciones deroga</w:t>
            </w:r>
            <w:r w:rsidR="2845623F" w:rsidRPr="00EA3808">
              <w:rPr>
                <w:rFonts w:ascii="Verdana" w:hAnsi="Verdana" w:cs="Arial"/>
                <w:b/>
                <w:bCs/>
                <w:sz w:val="22"/>
                <w:szCs w:val="22"/>
                <w:lang w:val="es-CO" w:eastAsia="es-CO"/>
              </w:rPr>
              <w:t>da</w:t>
            </w:r>
            <w:r w:rsidRPr="00EA3808">
              <w:rPr>
                <w:rFonts w:ascii="Verdana" w:hAnsi="Verdana" w:cs="Arial"/>
                <w:b/>
                <w:bCs/>
                <w:sz w:val="22"/>
                <w:szCs w:val="22"/>
                <w:lang w:val="es-CO" w:eastAsia="es-CO"/>
              </w:rPr>
              <w:t>s, subrogadas, modificadas, adicionadas</w:t>
            </w:r>
            <w:r w:rsidR="79D9D5F9" w:rsidRPr="00EA3808">
              <w:rPr>
                <w:rFonts w:ascii="Verdana" w:hAnsi="Verdana" w:cs="Arial"/>
                <w:b/>
                <w:bCs/>
                <w:sz w:val="22"/>
                <w:szCs w:val="22"/>
                <w:lang w:val="es-CO" w:eastAsia="es-CO"/>
              </w:rPr>
              <w:t xml:space="preserve"> o sustituidas </w:t>
            </w:r>
          </w:p>
          <w:p w14:paraId="1ED37C91" w14:textId="4060154B" w:rsidR="086CF79C" w:rsidRPr="00EA3808" w:rsidRDefault="086CF79C" w:rsidP="086CF79C">
            <w:pPr>
              <w:jc w:val="both"/>
              <w:rPr>
                <w:rFonts w:ascii="Verdana" w:hAnsi="Verdana" w:cs="Arial"/>
                <w:sz w:val="22"/>
                <w:szCs w:val="22"/>
                <w:lang w:val="es-CO" w:eastAsia="es-CO"/>
              </w:rPr>
            </w:pPr>
          </w:p>
          <w:p w14:paraId="7571AE7E" w14:textId="4234D901" w:rsidR="00945B46" w:rsidRPr="00EA3808" w:rsidRDefault="00FC6381" w:rsidP="086CF79C">
            <w:pPr>
              <w:jc w:val="both"/>
              <w:rPr>
                <w:rFonts w:ascii="Verdana" w:hAnsi="Verdana" w:cs="Arial"/>
                <w:color w:val="000000" w:themeColor="text1"/>
                <w:sz w:val="22"/>
                <w:szCs w:val="22"/>
                <w:lang w:val="es-CO"/>
              </w:rPr>
            </w:pPr>
            <w:r>
              <w:rPr>
                <w:rFonts w:ascii="Verdana" w:hAnsi="Verdana" w:cs="Arial"/>
                <w:color w:val="000000" w:themeColor="text1"/>
                <w:sz w:val="22"/>
                <w:szCs w:val="22"/>
                <w:lang w:val="es-CO"/>
              </w:rPr>
              <w:t xml:space="preserve"> </w:t>
            </w:r>
            <w:r w:rsidRPr="00D000D8">
              <w:rPr>
                <w:rFonts w:ascii="Verdana" w:eastAsia="Verdana" w:hAnsi="Verdana" w:cs="Verdana"/>
                <w:sz w:val="21"/>
                <w:szCs w:val="21"/>
                <w:lang w:val="es-CO"/>
              </w:rPr>
              <w:t>Resolución</w:t>
            </w:r>
            <w:r w:rsidR="5DE6F00A" w:rsidRPr="00D000D8">
              <w:rPr>
                <w:rFonts w:ascii="Verdana" w:eastAsia="Verdana" w:hAnsi="Verdana" w:cs="Verdana"/>
                <w:sz w:val="21"/>
                <w:szCs w:val="21"/>
                <w:lang w:val="es-CO"/>
              </w:rPr>
              <w:t xml:space="preserve"> 2090 de 2014, por medio de la cual se delimita el páramo </w:t>
            </w:r>
            <w:r w:rsidR="36227BC8" w:rsidRPr="00D000D8">
              <w:rPr>
                <w:rFonts w:ascii="Verdana" w:eastAsia="Verdana" w:hAnsi="Verdana" w:cs="Verdana"/>
                <w:sz w:val="21"/>
                <w:szCs w:val="21"/>
                <w:lang w:val="es-CO"/>
              </w:rPr>
              <w:t>Jurisdicciones Santurbán - Berlín.</w:t>
            </w:r>
            <w:r w:rsidR="36227BC8" w:rsidRPr="00EA3808">
              <w:rPr>
                <w:rFonts w:ascii="Verdana" w:hAnsi="Verdana" w:cs="Arial"/>
                <w:color w:val="000000" w:themeColor="text1"/>
                <w:sz w:val="22"/>
                <w:szCs w:val="22"/>
                <w:lang w:val="es-CO"/>
              </w:rPr>
              <w:t xml:space="preserve">   </w:t>
            </w:r>
          </w:p>
          <w:p w14:paraId="277CFCA4" w14:textId="7B4BB29B" w:rsidR="00945B46" w:rsidRPr="00EA3808" w:rsidRDefault="00945B46" w:rsidP="086CF79C">
            <w:pPr>
              <w:jc w:val="both"/>
              <w:rPr>
                <w:rFonts w:ascii="Verdana" w:hAnsi="Verdana" w:cs="Arial"/>
                <w:sz w:val="22"/>
                <w:szCs w:val="22"/>
                <w:highlight w:val="yellow"/>
                <w:lang w:val="es-CO" w:eastAsia="es-CO"/>
              </w:rPr>
            </w:pPr>
          </w:p>
          <w:p w14:paraId="00F4DE5F" w14:textId="77777777" w:rsidR="00D05B67" w:rsidRPr="00EA3808" w:rsidRDefault="1CCCBCED" w:rsidP="0008113E">
            <w:pPr>
              <w:ind w:left="283" w:hanging="283"/>
              <w:jc w:val="both"/>
              <w:rPr>
                <w:rFonts w:ascii="Verdana" w:hAnsi="Verdana" w:cs="Arial"/>
                <w:b/>
                <w:bCs/>
                <w:sz w:val="22"/>
                <w:szCs w:val="22"/>
                <w:lang w:val="es-CO" w:eastAsia="es-CO"/>
              </w:rPr>
            </w:pPr>
            <w:r w:rsidRPr="00EA3808">
              <w:rPr>
                <w:rFonts w:ascii="Verdana" w:hAnsi="Verdana" w:cs="Arial"/>
                <w:b/>
                <w:bCs/>
                <w:sz w:val="22"/>
                <w:szCs w:val="22"/>
                <w:lang w:val="es-CO" w:eastAsia="es-CO"/>
              </w:rPr>
              <w:t>3.4 Revisión y análisis de la jurisprudencia que tenga impacto o sea relevante para la expedición del proyecto normativo (órganos de cierre de cada jurisdicción)</w:t>
            </w:r>
          </w:p>
          <w:p w14:paraId="4D039E3B" w14:textId="77777777" w:rsidR="00D05B67" w:rsidRPr="00EA3808" w:rsidRDefault="00D05B67" w:rsidP="0075705D">
            <w:pPr>
              <w:ind w:left="494" w:hanging="283"/>
              <w:jc w:val="both"/>
              <w:rPr>
                <w:rFonts w:ascii="Verdana" w:hAnsi="Verdana" w:cs="Arial"/>
                <w:sz w:val="22"/>
                <w:szCs w:val="22"/>
                <w:lang w:val="es-CO" w:eastAsia="es-CO"/>
              </w:rPr>
            </w:pPr>
          </w:p>
          <w:p w14:paraId="1EDA0E5C" w14:textId="77777777" w:rsidR="00100C4C" w:rsidRPr="00EA3808" w:rsidRDefault="64FBB559" w:rsidP="4095ADAA">
            <w:pPr>
              <w:pStyle w:val="Listavistosa-nfasis11"/>
              <w:ind w:left="0"/>
              <w:jc w:val="both"/>
              <w:rPr>
                <w:rFonts w:ascii="Verdana" w:hAnsi="Verdana" w:cs="Arial"/>
                <w:b/>
                <w:bCs/>
                <w:color w:val="000000"/>
              </w:rPr>
            </w:pPr>
            <w:r w:rsidRPr="00EA3808">
              <w:rPr>
                <w:rFonts w:ascii="Verdana" w:hAnsi="Verdana" w:cs="Arial"/>
                <w:b/>
                <w:bCs/>
                <w:color w:val="000000" w:themeColor="text1"/>
              </w:rPr>
              <w:t>Sentencia C-035 de 2016</w:t>
            </w:r>
          </w:p>
          <w:p w14:paraId="6A72F69E" w14:textId="77777777" w:rsidR="001228B9" w:rsidRPr="00EA3808" w:rsidRDefault="001228B9" w:rsidP="4095ADAA">
            <w:pPr>
              <w:pStyle w:val="Listavistosa-nfasis11"/>
              <w:ind w:left="0"/>
              <w:jc w:val="both"/>
              <w:rPr>
                <w:rFonts w:ascii="Verdana" w:hAnsi="Verdana" w:cs="Arial"/>
                <w:color w:val="000000"/>
              </w:rPr>
            </w:pPr>
          </w:p>
          <w:p w14:paraId="2E65A4F5" w14:textId="1233DB5B" w:rsidR="00100C4C" w:rsidRPr="00D000D8" w:rsidRDefault="64FBB559" w:rsidP="00D000D8">
            <w:pPr>
              <w:jc w:val="both"/>
              <w:rPr>
                <w:rFonts w:ascii="Verdana" w:eastAsia="Verdana" w:hAnsi="Verdana" w:cs="Verdana"/>
                <w:sz w:val="21"/>
                <w:szCs w:val="21"/>
                <w:lang w:val="es-CO"/>
              </w:rPr>
            </w:pPr>
            <w:r w:rsidRPr="00D000D8">
              <w:rPr>
                <w:rFonts w:ascii="Verdana" w:eastAsia="Verdana" w:hAnsi="Verdana" w:cs="Verdana"/>
                <w:sz w:val="21"/>
                <w:szCs w:val="21"/>
                <w:lang w:val="es-CO"/>
              </w:rPr>
              <w:t xml:space="preserve">La Corte Constitucional, mediante Sentencia C-035 de 2016, </w:t>
            </w:r>
            <w:r w:rsidR="188677B1" w:rsidRPr="00D000D8">
              <w:rPr>
                <w:rFonts w:ascii="Verdana" w:eastAsia="Verdana" w:hAnsi="Verdana" w:cs="Verdana"/>
                <w:sz w:val="21"/>
                <w:szCs w:val="21"/>
                <w:lang w:val="es-CO"/>
              </w:rPr>
              <w:t>se pronunció sobre la constitucionalidad de disposiciones del artículo 173 de la Ley 1753 de 2015, relacionadas con la protección y delimitación de los ecosistemas de páramo.</w:t>
            </w:r>
          </w:p>
          <w:p w14:paraId="4BFBB3F7" w14:textId="77777777" w:rsidR="001228B9" w:rsidRPr="00EA3808" w:rsidRDefault="001228B9" w:rsidP="4095ADAA">
            <w:pPr>
              <w:pStyle w:val="Listavistosa-nfasis11"/>
              <w:ind w:left="0"/>
              <w:jc w:val="both"/>
              <w:rPr>
                <w:rFonts w:ascii="Verdana" w:hAnsi="Verdana" w:cs="Arial"/>
                <w:color w:val="000000"/>
              </w:rPr>
            </w:pPr>
          </w:p>
          <w:p w14:paraId="0C761410" w14:textId="1A876098" w:rsidR="009A1787" w:rsidRPr="00D000D8" w:rsidRDefault="4B651AC1" w:rsidP="00D000D8">
            <w:pPr>
              <w:jc w:val="both"/>
              <w:rPr>
                <w:rFonts w:ascii="Verdana" w:eastAsia="Verdana" w:hAnsi="Verdana" w:cs="Verdana"/>
                <w:sz w:val="21"/>
                <w:szCs w:val="21"/>
                <w:lang w:val="es-CO"/>
              </w:rPr>
            </w:pPr>
            <w:r w:rsidRPr="00D000D8">
              <w:rPr>
                <w:rFonts w:ascii="Verdana" w:eastAsia="Verdana" w:hAnsi="Verdana" w:cs="Verdana"/>
                <w:sz w:val="21"/>
                <w:szCs w:val="21"/>
                <w:lang w:val="es-CO"/>
              </w:rPr>
              <w:t>En dicha providencia, la Corte declaró inexequibles los incisos primero (1), segundo (2) y tercero (3) del primer parágrafo del artículo 173 de la Ley 1753 de 2015, que permitían el desarrollo de actividades mineras y de hidrocarburos en ecosistemas de páramo bajo ciertas condiciones asociadas a la existencia de títulos, contratos o licencias ambientales previas.</w:t>
            </w:r>
            <w:r w:rsidR="69B8B3F8" w:rsidRPr="00D000D8">
              <w:rPr>
                <w:rFonts w:ascii="Verdana" w:eastAsia="Verdana" w:hAnsi="Verdana" w:cs="Verdana"/>
                <w:sz w:val="21"/>
                <w:szCs w:val="21"/>
                <w:lang w:val="es-CO"/>
              </w:rPr>
              <w:t xml:space="preserve"> </w:t>
            </w:r>
            <w:r w:rsidRPr="00D000D8">
              <w:rPr>
                <w:rFonts w:ascii="Verdana" w:eastAsia="Verdana" w:hAnsi="Verdana" w:cs="Verdana"/>
                <w:sz w:val="21"/>
                <w:szCs w:val="21"/>
                <w:lang w:val="es-CO"/>
              </w:rPr>
              <w:t xml:space="preserve">Asimismo, la Corte declaró exequible el inciso segundo (2) del artículo 173 de la ley 1753 de 2015, bajo el entendido de </w:t>
            </w:r>
            <w:r w:rsidR="3323F9B8" w:rsidRPr="00D000D8">
              <w:rPr>
                <w:rFonts w:ascii="Verdana" w:eastAsia="Verdana" w:hAnsi="Verdana" w:cs="Verdana"/>
                <w:sz w:val="21"/>
                <w:szCs w:val="21"/>
                <w:lang w:val="es-CO"/>
              </w:rPr>
              <w:t>que,</w:t>
            </w:r>
            <w:r w:rsidRPr="00D000D8">
              <w:rPr>
                <w:rFonts w:ascii="Verdana" w:eastAsia="Verdana" w:hAnsi="Verdana" w:cs="Verdana"/>
                <w:sz w:val="21"/>
                <w:szCs w:val="21"/>
                <w:lang w:val="es-CO"/>
              </w:rPr>
              <w:t xml:space="preserve"> si el Ministerio de Ambiente y Desarrollo Sostenible se aparta del área de referencia establecida por el Instituto de Investigación Alexander </w:t>
            </w:r>
            <w:proofErr w:type="spellStart"/>
            <w:r w:rsidRPr="00D000D8">
              <w:rPr>
                <w:rFonts w:ascii="Verdana" w:eastAsia="Verdana" w:hAnsi="Verdana" w:cs="Verdana"/>
                <w:sz w:val="21"/>
                <w:szCs w:val="21"/>
                <w:lang w:val="es-CO"/>
              </w:rPr>
              <w:t>von</w:t>
            </w:r>
            <w:proofErr w:type="spellEnd"/>
            <w:r w:rsidRPr="00D000D8">
              <w:rPr>
                <w:rFonts w:ascii="Verdana" w:eastAsia="Verdana" w:hAnsi="Verdana" w:cs="Verdana"/>
                <w:sz w:val="21"/>
                <w:szCs w:val="21"/>
                <w:lang w:val="es-CO"/>
              </w:rPr>
              <w:t xml:space="preserve"> Humboldt en la delimitación de los páramos, debe fundamentar explícitamente su decisión en un criterio científico que provea un mayor grado de protección del ecosistema de páramo.</w:t>
            </w:r>
          </w:p>
          <w:p w14:paraId="56525CA6" w14:textId="77777777" w:rsidR="001228B9" w:rsidRPr="00EA3808" w:rsidRDefault="001228B9" w:rsidP="4095ADAA">
            <w:pPr>
              <w:pStyle w:val="Listavistosa-nfasis11"/>
              <w:ind w:left="0"/>
              <w:jc w:val="both"/>
              <w:rPr>
                <w:rFonts w:ascii="Verdana" w:hAnsi="Verdana" w:cs="Arial"/>
                <w:color w:val="000000"/>
                <w:highlight w:val="yellow"/>
              </w:rPr>
            </w:pPr>
          </w:p>
          <w:p w14:paraId="28EC611C" w14:textId="77777777" w:rsidR="00760B0B" w:rsidRPr="00D000D8" w:rsidRDefault="7CC4070B" w:rsidP="00D000D8">
            <w:pPr>
              <w:jc w:val="both"/>
              <w:rPr>
                <w:rFonts w:ascii="Verdana" w:eastAsia="Verdana" w:hAnsi="Verdana" w:cs="Verdana"/>
                <w:sz w:val="21"/>
                <w:szCs w:val="21"/>
                <w:lang w:val="es-CO"/>
              </w:rPr>
            </w:pPr>
            <w:r w:rsidRPr="00D000D8">
              <w:rPr>
                <w:rFonts w:ascii="Verdana" w:eastAsia="Verdana" w:hAnsi="Verdana" w:cs="Verdana"/>
                <w:sz w:val="21"/>
                <w:szCs w:val="21"/>
                <w:lang w:val="es-CO"/>
              </w:rPr>
              <w:t>Esta providencia resulta relevante para el presente proyecto normativo, en tanto fija reglas aplicables a la delimitación de los páramos, especialmente frente al deber de protección y la necesidad de sustentar técnica y científicamente cualquier decisión que se aparte del área de referencia.</w:t>
            </w:r>
          </w:p>
          <w:p w14:paraId="0F564AF6" w14:textId="77777777" w:rsidR="00760B0B" w:rsidRDefault="00760B0B" w:rsidP="4095ADAA">
            <w:pPr>
              <w:pStyle w:val="Listavistosa-nfasis11"/>
              <w:spacing w:after="0" w:line="240" w:lineRule="auto"/>
              <w:ind w:left="0"/>
              <w:jc w:val="both"/>
              <w:rPr>
                <w:rFonts w:ascii="Verdana" w:hAnsi="Verdana" w:cs="Arial"/>
                <w:color w:val="000000"/>
              </w:rPr>
            </w:pPr>
          </w:p>
          <w:p w14:paraId="75667C76" w14:textId="77777777" w:rsidR="00D000D8" w:rsidRPr="00EA3808" w:rsidRDefault="00D000D8" w:rsidP="4095ADAA">
            <w:pPr>
              <w:pStyle w:val="Listavistosa-nfasis11"/>
              <w:spacing w:after="0" w:line="240" w:lineRule="auto"/>
              <w:ind w:left="0"/>
              <w:jc w:val="both"/>
              <w:rPr>
                <w:rFonts w:ascii="Verdana" w:hAnsi="Verdana" w:cs="Arial"/>
                <w:color w:val="000000"/>
              </w:rPr>
            </w:pPr>
          </w:p>
          <w:p w14:paraId="7C868665" w14:textId="77777777" w:rsidR="00AD3B6C" w:rsidRDefault="7CC4070B" w:rsidP="4095ADAA">
            <w:pPr>
              <w:pStyle w:val="Listavistosa-nfasis11"/>
              <w:ind w:left="0"/>
              <w:jc w:val="both"/>
              <w:rPr>
                <w:rFonts w:ascii="Verdana" w:hAnsi="Verdana" w:cs="Arial"/>
                <w:b/>
                <w:bCs/>
                <w:color w:val="000000" w:themeColor="text1"/>
              </w:rPr>
            </w:pPr>
            <w:r w:rsidRPr="00EA3808">
              <w:rPr>
                <w:rFonts w:ascii="Verdana" w:hAnsi="Verdana" w:cs="Arial"/>
                <w:b/>
                <w:bCs/>
                <w:color w:val="000000" w:themeColor="text1"/>
              </w:rPr>
              <w:t xml:space="preserve">Sentencia T-361 </w:t>
            </w:r>
            <w:r w:rsidR="63C7F579" w:rsidRPr="00EA3808">
              <w:rPr>
                <w:rFonts w:ascii="Verdana" w:hAnsi="Verdana" w:cs="Arial"/>
                <w:b/>
                <w:bCs/>
                <w:color w:val="000000" w:themeColor="text1"/>
              </w:rPr>
              <w:t>de</w:t>
            </w:r>
            <w:r w:rsidRPr="00EA3808">
              <w:rPr>
                <w:rFonts w:ascii="Verdana" w:hAnsi="Verdana" w:cs="Arial"/>
                <w:b/>
                <w:bCs/>
                <w:color w:val="000000" w:themeColor="text1"/>
              </w:rPr>
              <w:t xml:space="preserve"> 2017</w:t>
            </w:r>
          </w:p>
          <w:p w14:paraId="34906045" w14:textId="77777777" w:rsidR="00D000D8" w:rsidRPr="00EA3808" w:rsidRDefault="00D000D8" w:rsidP="4095ADAA">
            <w:pPr>
              <w:pStyle w:val="Listavistosa-nfasis11"/>
              <w:ind w:left="0"/>
              <w:jc w:val="both"/>
              <w:rPr>
                <w:rFonts w:ascii="Verdana" w:hAnsi="Verdana" w:cs="Arial"/>
                <w:b/>
                <w:bCs/>
                <w:color w:val="000000"/>
              </w:rPr>
            </w:pPr>
          </w:p>
          <w:p w14:paraId="4FDED863" w14:textId="77777777" w:rsidR="00AD3B6C" w:rsidRPr="00D000D8" w:rsidRDefault="6CBBFC5E" w:rsidP="4095ADAA">
            <w:pPr>
              <w:pStyle w:val="Listavistosa-nfasis11"/>
              <w:ind w:left="0"/>
              <w:jc w:val="both"/>
              <w:rPr>
                <w:rFonts w:ascii="Verdana" w:eastAsia="Verdana" w:hAnsi="Verdana" w:cs="Verdana"/>
                <w:sz w:val="21"/>
                <w:szCs w:val="21"/>
                <w:lang w:eastAsia="es-ES"/>
              </w:rPr>
            </w:pPr>
            <w:r w:rsidRPr="00D000D8">
              <w:rPr>
                <w:rFonts w:ascii="Verdana" w:eastAsia="Verdana" w:hAnsi="Verdana" w:cs="Verdana"/>
                <w:sz w:val="21"/>
                <w:szCs w:val="21"/>
                <w:lang w:eastAsia="es-ES"/>
              </w:rPr>
              <w:t>La Corte Constitucional, mediante Sentencia T-361 de 2017, revisó el proceso de delimitación del Páramo Jurisdicciones Santurbán – Berlín y dejó sin efectos la Resolución 2090 de 2014, expedida por el Ministerio de Ambiente y Desarrollo Sostenible.</w:t>
            </w:r>
          </w:p>
          <w:p w14:paraId="4E4921BE" w14:textId="618D3448" w:rsidR="086CF79C" w:rsidRPr="00D000D8" w:rsidRDefault="086CF79C" w:rsidP="086CF79C">
            <w:pPr>
              <w:pStyle w:val="Listavistosa-nfasis11"/>
              <w:ind w:left="0"/>
              <w:jc w:val="both"/>
              <w:rPr>
                <w:rFonts w:ascii="Verdana" w:eastAsia="Verdana" w:hAnsi="Verdana" w:cs="Verdana"/>
                <w:sz w:val="21"/>
                <w:szCs w:val="21"/>
                <w:lang w:eastAsia="es-ES"/>
              </w:rPr>
            </w:pPr>
          </w:p>
          <w:p w14:paraId="33202602" w14:textId="77777777" w:rsidR="00760B0B" w:rsidRPr="00D000D8" w:rsidRDefault="57AFEC6F" w:rsidP="4095ADAA">
            <w:pPr>
              <w:pStyle w:val="Listavistosa-nfasis11"/>
              <w:ind w:left="0"/>
              <w:jc w:val="both"/>
              <w:rPr>
                <w:rFonts w:ascii="Verdana" w:eastAsia="Verdana" w:hAnsi="Verdana" w:cs="Verdana"/>
                <w:sz w:val="21"/>
                <w:szCs w:val="21"/>
                <w:lang w:eastAsia="es-ES"/>
              </w:rPr>
            </w:pPr>
            <w:r w:rsidRPr="00D000D8">
              <w:rPr>
                <w:rFonts w:ascii="Verdana" w:eastAsia="Verdana" w:hAnsi="Verdana" w:cs="Verdana"/>
                <w:sz w:val="21"/>
                <w:szCs w:val="21"/>
                <w:lang w:eastAsia="es-ES"/>
              </w:rPr>
              <w:t>En Dicha providencia, la Corte ordenó adelantar. Una nueva delimitación mediante un procedimiento previo, amplio, participativo, eficaz y deliberativo. Así mismo, estableció las fases mínimas del proceso participativo: 1) Convocatoria; 2) Información, consulta e iniciativa; 3)</w:t>
            </w:r>
            <w:r w:rsidR="7CC4070B" w:rsidRPr="00D000D8">
              <w:rPr>
                <w:rFonts w:ascii="Verdana" w:eastAsia="Verdana" w:hAnsi="Verdana" w:cs="Verdana"/>
                <w:sz w:val="21"/>
                <w:szCs w:val="21"/>
                <w:lang w:eastAsia="es-ES"/>
              </w:rPr>
              <w:t xml:space="preserve"> </w:t>
            </w:r>
            <w:r w:rsidRPr="00D000D8">
              <w:rPr>
                <w:rFonts w:ascii="Verdana" w:eastAsia="Verdana" w:hAnsi="Verdana" w:cs="Verdana"/>
                <w:sz w:val="21"/>
                <w:szCs w:val="21"/>
                <w:lang w:eastAsia="es-ES"/>
              </w:rPr>
              <w:t>Concertación, 4) Observaciones al proyecto de acto administrativo; 5) Expedición de la resolución; y 6) Seguimiento a los acuerdos. De igual manera, la Corte definió seis (6) asuntos ineludibles que deben ser abordados en el proceso participativo: 1) el resultado de la nueva delimitación</w:t>
            </w:r>
            <w:r w:rsidR="6C7AE8C6" w:rsidRPr="00D000D8">
              <w:rPr>
                <w:rFonts w:ascii="Verdana" w:eastAsia="Verdana" w:hAnsi="Verdana" w:cs="Verdana"/>
                <w:sz w:val="21"/>
                <w:szCs w:val="21"/>
                <w:lang w:eastAsia="es-ES"/>
              </w:rPr>
              <w:t>;</w:t>
            </w:r>
            <w:r w:rsidRPr="00D000D8">
              <w:rPr>
                <w:rFonts w:ascii="Verdana" w:eastAsia="Verdana" w:hAnsi="Verdana" w:cs="Verdana"/>
                <w:sz w:val="21"/>
                <w:szCs w:val="21"/>
                <w:lang w:eastAsia="es-ES"/>
              </w:rPr>
              <w:t xml:space="preserve"> </w:t>
            </w:r>
            <w:r w:rsidR="6C7AE8C6" w:rsidRPr="00D000D8">
              <w:rPr>
                <w:rFonts w:ascii="Verdana" w:eastAsia="Verdana" w:hAnsi="Verdana" w:cs="Verdana"/>
                <w:sz w:val="21"/>
                <w:szCs w:val="21"/>
                <w:lang w:eastAsia="es-ES"/>
              </w:rPr>
              <w:t xml:space="preserve">2) </w:t>
            </w:r>
            <w:r w:rsidRPr="00D000D8">
              <w:rPr>
                <w:rFonts w:ascii="Verdana" w:eastAsia="Verdana" w:hAnsi="Verdana" w:cs="Verdana"/>
                <w:sz w:val="21"/>
                <w:szCs w:val="21"/>
                <w:lang w:eastAsia="es-ES"/>
              </w:rPr>
              <w:t>los lineamientos de reconversión o sustitución de actividades prohibidas</w:t>
            </w:r>
            <w:r w:rsidR="6C7AE8C6" w:rsidRPr="00D000D8">
              <w:rPr>
                <w:rFonts w:ascii="Verdana" w:eastAsia="Verdana" w:hAnsi="Verdana" w:cs="Verdana"/>
                <w:sz w:val="21"/>
                <w:szCs w:val="21"/>
                <w:lang w:eastAsia="es-ES"/>
              </w:rPr>
              <w:t>;</w:t>
            </w:r>
            <w:r w:rsidRPr="00D000D8">
              <w:rPr>
                <w:rFonts w:ascii="Verdana" w:eastAsia="Verdana" w:hAnsi="Verdana" w:cs="Verdana"/>
                <w:sz w:val="21"/>
                <w:szCs w:val="21"/>
                <w:lang w:eastAsia="es-ES"/>
              </w:rPr>
              <w:t xml:space="preserve"> </w:t>
            </w:r>
            <w:r w:rsidR="6C7AE8C6" w:rsidRPr="00D000D8">
              <w:rPr>
                <w:rFonts w:ascii="Verdana" w:eastAsia="Verdana" w:hAnsi="Verdana" w:cs="Verdana"/>
                <w:sz w:val="21"/>
                <w:szCs w:val="21"/>
                <w:lang w:eastAsia="es-ES"/>
              </w:rPr>
              <w:t xml:space="preserve">3) </w:t>
            </w:r>
            <w:r w:rsidRPr="00D000D8">
              <w:rPr>
                <w:rFonts w:ascii="Verdana" w:eastAsia="Verdana" w:hAnsi="Verdana" w:cs="Verdana"/>
                <w:sz w:val="21"/>
                <w:szCs w:val="21"/>
                <w:lang w:eastAsia="es-ES"/>
              </w:rPr>
              <w:t>el sistema de fiscalización de la gestión de la resolución</w:t>
            </w:r>
            <w:r w:rsidR="6C7AE8C6" w:rsidRPr="00D000D8">
              <w:rPr>
                <w:rFonts w:ascii="Verdana" w:eastAsia="Verdana" w:hAnsi="Verdana" w:cs="Verdana"/>
                <w:sz w:val="21"/>
                <w:szCs w:val="21"/>
                <w:lang w:eastAsia="es-ES"/>
              </w:rPr>
              <w:t>;</w:t>
            </w:r>
            <w:r w:rsidRPr="00D000D8">
              <w:rPr>
                <w:rFonts w:ascii="Verdana" w:eastAsia="Verdana" w:hAnsi="Verdana" w:cs="Verdana"/>
                <w:sz w:val="21"/>
                <w:szCs w:val="21"/>
                <w:lang w:eastAsia="es-ES"/>
              </w:rPr>
              <w:t xml:space="preserve"> </w:t>
            </w:r>
            <w:r w:rsidR="6C7AE8C6" w:rsidRPr="00D000D8">
              <w:rPr>
                <w:rFonts w:ascii="Verdana" w:eastAsia="Verdana" w:hAnsi="Verdana" w:cs="Verdana"/>
                <w:sz w:val="21"/>
                <w:szCs w:val="21"/>
                <w:lang w:eastAsia="es-ES"/>
              </w:rPr>
              <w:t xml:space="preserve">4) </w:t>
            </w:r>
            <w:r w:rsidRPr="00D000D8">
              <w:rPr>
                <w:rFonts w:ascii="Verdana" w:eastAsia="Verdana" w:hAnsi="Verdana" w:cs="Verdana"/>
                <w:sz w:val="21"/>
                <w:szCs w:val="21"/>
                <w:lang w:eastAsia="es-ES"/>
              </w:rPr>
              <w:t>los parámetros de protección de las fuentes hídricas</w:t>
            </w:r>
            <w:r w:rsidR="6C7AE8C6" w:rsidRPr="00D000D8">
              <w:rPr>
                <w:rFonts w:ascii="Verdana" w:eastAsia="Verdana" w:hAnsi="Verdana" w:cs="Verdana"/>
                <w:sz w:val="21"/>
                <w:szCs w:val="21"/>
                <w:lang w:eastAsia="es-ES"/>
              </w:rPr>
              <w:t>; 4)</w:t>
            </w:r>
            <w:r w:rsidRPr="00D000D8">
              <w:rPr>
                <w:rFonts w:ascii="Verdana" w:eastAsia="Verdana" w:hAnsi="Verdana" w:cs="Verdana"/>
                <w:sz w:val="21"/>
                <w:szCs w:val="21"/>
                <w:lang w:eastAsia="es-ES"/>
              </w:rPr>
              <w:t xml:space="preserve"> una instancia de coordinación permanente y una modelo de financiación para la gestión del páramo.</w:t>
            </w:r>
          </w:p>
          <w:p w14:paraId="626E3982" w14:textId="77777777" w:rsidR="001228B9" w:rsidRPr="00D000D8" w:rsidRDefault="001228B9" w:rsidP="4095ADAA">
            <w:pPr>
              <w:pStyle w:val="Listavistosa-nfasis11"/>
              <w:ind w:left="0"/>
              <w:jc w:val="both"/>
              <w:rPr>
                <w:rFonts w:ascii="Verdana" w:eastAsia="Verdana" w:hAnsi="Verdana" w:cs="Verdana"/>
                <w:sz w:val="21"/>
                <w:szCs w:val="21"/>
                <w:lang w:eastAsia="es-ES"/>
              </w:rPr>
            </w:pPr>
          </w:p>
          <w:p w14:paraId="735EDE9C" w14:textId="77777777" w:rsidR="00AD3B6C" w:rsidRPr="00D000D8" w:rsidRDefault="57AFEC6F" w:rsidP="4095ADAA">
            <w:pPr>
              <w:pStyle w:val="Listavistosa-nfasis11"/>
              <w:ind w:left="0"/>
              <w:jc w:val="both"/>
              <w:rPr>
                <w:rFonts w:ascii="Verdana" w:eastAsia="Verdana" w:hAnsi="Verdana" w:cs="Verdana"/>
                <w:sz w:val="21"/>
                <w:szCs w:val="21"/>
                <w:lang w:eastAsia="es-ES"/>
              </w:rPr>
            </w:pPr>
            <w:r w:rsidRPr="00D000D8">
              <w:rPr>
                <w:rFonts w:ascii="Verdana" w:eastAsia="Verdana" w:hAnsi="Verdana" w:cs="Verdana"/>
                <w:sz w:val="21"/>
                <w:szCs w:val="21"/>
                <w:lang w:eastAsia="es-ES"/>
              </w:rPr>
              <w:t xml:space="preserve">Esta sentencia resulta relevante para el presente proyecto normativo, en tanto sus reglas fueron tomadas como parámetro por el Juzgado Cuarenta (40) Administrativo de Oralidad del Circuito de Bogotá para </w:t>
            </w:r>
            <w:r w:rsidR="2D0F2574" w:rsidRPr="00D000D8">
              <w:rPr>
                <w:rFonts w:ascii="Verdana" w:eastAsia="Verdana" w:hAnsi="Verdana" w:cs="Verdana"/>
                <w:sz w:val="21"/>
                <w:szCs w:val="21"/>
                <w:lang w:eastAsia="es-ES"/>
              </w:rPr>
              <w:t>ordenar la nueva delimitación del Complejo de Páramos Cruz Verde – Sumapaz</w:t>
            </w:r>
            <w:r w:rsidR="3B88E0FB" w:rsidRPr="00D000D8">
              <w:rPr>
                <w:rFonts w:ascii="Verdana" w:eastAsia="Verdana" w:hAnsi="Verdana" w:cs="Verdana"/>
                <w:sz w:val="21"/>
                <w:szCs w:val="21"/>
                <w:lang w:eastAsia="es-ES"/>
              </w:rPr>
              <w:t xml:space="preserve"> (CPCVS)</w:t>
            </w:r>
            <w:r w:rsidR="2D0F2574" w:rsidRPr="00D000D8">
              <w:rPr>
                <w:rFonts w:ascii="Verdana" w:eastAsia="Verdana" w:hAnsi="Verdana" w:cs="Verdana"/>
                <w:sz w:val="21"/>
                <w:szCs w:val="21"/>
                <w:lang w:eastAsia="es-ES"/>
              </w:rPr>
              <w:t>.</w:t>
            </w:r>
          </w:p>
          <w:p w14:paraId="775BA2AC" w14:textId="77777777" w:rsidR="001228B9" w:rsidRPr="00EA3808" w:rsidRDefault="001228B9" w:rsidP="4095ADAA">
            <w:pPr>
              <w:pStyle w:val="Listavistosa-nfasis11"/>
              <w:ind w:left="0"/>
              <w:jc w:val="both"/>
              <w:rPr>
                <w:rFonts w:ascii="Verdana" w:hAnsi="Verdana" w:cs="Arial"/>
                <w:color w:val="000000"/>
              </w:rPr>
            </w:pPr>
          </w:p>
          <w:p w14:paraId="1C896DD6" w14:textId="77777777" w:rsidR="000863A1" w:rsidRPr="00EA3808" w:rsidRDefault="2D0F2574" w:rsidP="4095ADAA">
            <w:pPr>
              <w:pStyle w:val="Listavistosa-nfasis11"/>
              <w:ind w:left="0"/>
              <w:jc w:val="both"/>
              <w:rPr>
                <w:rFonts w:ascii="Verdana" w:hAnsi="Verdana" w:cs="Arial"/>
                <w:b/>
                <w:bCs/>
                <w:color w:val="000000"/>
              </w:rPr>
            </w:pPr>
            <w:r w:rsidRPr="00EA3808">
              <w:rPr>
                <w:rFonts w:ascii="Verdana" w:hAnsi="Verdana" w:cs="Arial"/>
                <w:b/>
                <w:bCs/>
                <w:color w:val="000000" w:themeColor="text1"/>
              </w:rPr>
              <w:t>Sentencia C-369 de 2019</w:t>
            </w:r>
          </w:p>
          <w:p w14:paraId="7632E5FD" w14:textId="77777777" w:rsidR="001228B9" w:rsidRPr="00EA3808" w:rsidRDefault="001228B9" w:rsidP="4095ADAA">
            <w:pPr>
              <w:pStyle w:val="Listavistosa-nfasis11"/>
              <w:ind w:left="0"/>
              <w:jc w:val="both"/>
              <w:rPr>
                <w:rFonts w:ascii="Verdana" w:hAnsi="Verdana" w:cs="Arial"/>
                <w:color w:val="000000"/>
              </w:rPr>
            </w:pPr>
          </w:p>
          <w:p w14:paraId="5F475EE4" w14:textId="117CA782" w:rsidR="000863A1" w:rsidRPr="00D000D8" w:rsidRDefault="2D0F2574" w:rsidP="4095ADAA">
            <w:pPr>
              <w:pStyle w:val="Listavistosa-nfasis11"/>
              <w:ind w:left="0"/>
              <w:jc w:val="both"/>
              <w:rPr>
                <w:rFonts w:ascii="Verdana" w:eastAsia="Verdana" w:hAnsi="Verdana" w:cs="Verdana"/>
                <w:sz w:val="21"/>
                <w:szCs w:val="21"/>
                <w:lang w:eastAsia="es-ES"/>
              </w:rPr>
            </w:pPr>
            <w:r w:rsidRPr="00D000D8">
              <w:rPr>
                <w:rFonts w:ascii="Verdana" w:eastAsia="Verdana" w:hAnsi="Verdana" w:cs="Verdana"/>
                <w:sz w:val="21"/>
                <w:szCs w:val="21"/>
                <w:lang w:eastAsia="es-ES"/>
              </w:rPr>
              <w:lastRenderedPageBreak/>
              <w:t xml:space="preserve">La Corte Constitucional, mediante Sentencia C-369 de 2019, se pronunció sobre la constitucionalidad de la Ley 1930 de 2018, </w:t>
            </w:r>
            <w:r w:rsidR="3B88E0FB" w:rsidRPr="00D000D8">
              <w:rPr>
                <w:rFonts w:ascii="Verdana" w:eastAsia="Verdana" w:hAnsi="Verdana" w:cs="Verdana"/>
                <w:sz w:val="21"/>
                <w:szCs w:val="21"/>
                <w:lang w:eastAsia="es-ES"/>
              </w:rPr>
              <w:t>«</w:t>
            </w:r>
            <w:r w:rsidR="75052D4C" w:rsidRPr="00D000D8">
              <w:rPr>
                <w:rFonts w:ascii="Verdana" w:eastAsia="Verdana" w:hAnsi="Verdana" w:cs="Verdana"/>
                <w:sz w:val="21"/>
                <w:szCs w:val="21"/>
                <w:lang w:eastAsia="es-ES"/>
              </w:rPr>
              <w:t>P</w:t>
            </w:r>
            <w:r w:rsidRPr="00D000D8">
              <w:rPr>
                <w:rFonts w:ascii="Verdana" w:eastAsia="Verdana" w:hAnsi="Verdana" w:cs="Verdana"/>
                <w:sz w:val="21"/>
                <w:szCs w:val="21"/>
                <w:lang w:eastAsia="es-ES"/>
              </w:rPr>
              <w:t>or medio de la cual se dictan disposiciones para la gestión integral de los páramos en Colombia</w:t>
            </w:r>
            <w:r w:rsidR="3B88E0FB" w:rsidRPr="00D000D8">
              <w:rPr>
                <w:rFonts w:ascii="Verdana" w:eastAsia="Verdana" w:hAnsi="Verdana" w:cs="Verdana"/>
                <w:sz w:val="21"/>
                <w:szCs w:val="21"/>
                <w:lang w:eastAsia="es-ES"/>
              </w:rPr>
              <w:t>»</w:t>
            </w:r>
            <w:r w:rsidR="75052D4C" w:rsidRPr="00D000D8">
              <w:rPr>
                <w:rFonts w:ascii="Verdana" w:eastAsia="Verdana" w:hAnsi="Verdana" w:cs="Verdana"/>
                <w:sz w:val="21"/>
                <w:szCs w:val="21"/>
                <w:lang w:eastAsia="es-ES"/>
              </w:rPr>
              <w:t>.</w:t>
            </w:r>
          </w:p>
          <w:p w14:paraId="44E3356C" w14:textId="77777777" w:rsidR="001228B9" w:rsidRPr="00EA3808" w:rsidRDefault="001228B9" w:rsidP="4095ADAA">
            <w:pPr>
              <w:pStyle w:val="Listavistosa-nfasis11"/>
              <w:ind w:left="0"/>
              <w:jc w:val="both"/>
              <w:rPr>
                <w:rFonts w:ascii="Verdana" w:hAnsi="Verdana" w:cs="Arial"/>
                <w:color w:val="000000"/>
              </w:rPr>
            </w:pPr>
          </w:p>
          <w:p w14:paraId="50103ADA" w14:textId="77777777" w:rsidR="00BB1608" w:rsidRDefault="75052D4C" w:rsidP="4095ADAA">
            <w:pPr>
              <w:pStyle w:val="Listavistosa-nfasis11"/>
              <w:ind w:left="0"/>
              <w:jc w:val="both"/>
              <w:rPr>
                <w:rFonts w:ascii="Verdana" w:eastAsia="Verdana" w:hAnsi="Verdana" w:cs="Verdana"/>
                <w:sz w:val="21"/>
                <w:szCs w:val="21"/>
                <w:lang w:eastAsia="es-ES"/>
              </w:rPr>
            </w:pPr>
            <w:r w:rsidRPr="00D000D8">
              <w:rPr>
                <w:rFonts w:ascii="Verdana" w:eastAsia="Verdana" w:hAnsi="Verdana" w:cs="Verdana"/>
                <w:sz w:val="21"/>
                <w:szCs w:val="21"/>
                <w:lang w:eastAsia="es-ES"/>
              </w:rPr>
              <w:t>En esta providencia, la Corte declaró exequible la Ley 1930 de 2018, bajo el entendido de que cuando para su desarrollo se adopten medidas administrativas, acciones, planes, programas, proyectos u otras tareas que puedan afectar directamente a una o más comunidades étnicas que habitan en ecosistemas de páramo, deberá agotarse el procedimiento de consulta previa.</w:t>
            </w:r>
          </w:p>
          <w:p w14:paraId="727984F7" w14:textId="77777777" w:rsidR="00D000D8" w:rsidRPr="00D000D8" w:rsidRDefault="00D000D8" w:rsidP="4095ADAA">
            <w:pPr>
              <w:pStyle w:val="Listavistosa-nfasis11"/>
              <w:ind w:left="0"/>
              <w:jc w:val="both"/>
              <w:rPr>
                <w:rFonts w:ascii="Verdana" w:eastAsia="Verdana" w:hAnsi="Verdana" w:cs="Verdana"/>
                <w:sz w:val="21"/>
                <w:szCs w:val="21"/>
                <w:lang w:eastAsia="es-ES"/>
              </w:rPr>
            </w:pPr>
          </w:p>
          <w:p w14:paraId="19AE97DC" w14:textId="77777777" w:rsidR="00BB1608" w:rsidRPr="00D000D8" w:rsidRDefault="75052D4C" w:rsidP="4095ADAA">
            <w:pPr>
              <w:pStyle w:val="Listavistosa-nfasis11"/>
              <w:ind w:left="0"/>
              <w:jc w:val="both"/>
              <w:rPr>
                <w:rFonts w:ascii="Verdana" w:eastAsia="Verdana" w:hAnsi="Verdana" w:cs="Verdana"/>
                <w:sz w:val="21"/>
                <w:szCs w:val="21"/>
                <w:lang w:eastAsia="es-ES"/>
              </w:rPr>
            </w:pPr>
            <w:r w:rsidRPr="00D000D8">
              <w:rPr>
                <w:rFonts w:ascii="Verdana" w:eastAsia="Verdana" w:hAnsi="Verdana" w:cs="Verdana"/>
                <w:sz w:val="21"/>
                <w:szCs w:val="21"/>
                <w:lang w:eastAsia="es-ES"/>
              </w:rPr>
              <w:t>Esta sentencia</w:t>
            </w:r>
            <w:r w:rsidR="3B88E0FB" w:rsidRPr="00D000D8">
              <w:rPr>
                <w:rFonts w:ascii="Verdana" w:eastAsia="Verdana" w:hAnsi="Verdana" w:cs="Verdana"/>
                <w:sz w:val="21"/>
                <w:szCs w:val="21"/>
                <w:lang w:eastAsia="es-ES"/>
              </w:rPr>
              <w:t xml:space="preserve"> resulta relevante para el presente proyecto normativo, en tanto precisa el alcance constitucional de la Ley 1930 de 2018 y reitera la obligación de observar los mecanismos de participación y consulta aplicables cando las decisiones administrativas puedan generar afectación directa sobre comunidades étnicas.</w:t>
            </w:r>
          </w:p>
          <w:p w14:paraId="218642F3" w14:textId="77777777" w:rsidR="001228B9" w:rsidRPr="00EA3808" w:rsidRDefault="001228B9" w:rsidP="4095ADAA">
            <w:pPr>
              <w:pStyle w:val="Listavistosa-nfasis11"/>
              <w:ind w:left="0"/>
              <w:jc w:val="both"/>
              <w:rPr>
                <w:rFonts w:ascii="Verdana" w:hAnsi="Verdana" w:cs="Arial"/>
                <w:color w:val="000000"/>
              </w:rPr>
            </w:pPr>
          </w:p>
          <w:p w14:paraId="1007103C" w14:textId="77777777" w:rsidR="00795C6B" w:rsidRPr="00EA3808" w:rsidRDefault="1CCCBCED" w:rsidP="001A1E25">
            <w:pPr>
              <w:ind w:left="494" w:hanging="283"/>
              <w:jc w:val="both"/>
              <w:rPr>
                <w:rFonts w:ascii="Verdana" w:hAnsi="Verdana" w:cs="Arial"/>
                <w:b/>
                <w:bCs/>
                <w:sz w:val="22"/>
                <w:szCs w:val="22"/>
                <w:lang w:val="es-CO" w:eastAsia="es-CO"/>
              </w:rPr>
            </w:pPr>
            <w:r w:rsidRPr="00EA3808">
              <w:rPr>
                <w:rFonts w:ascii="Verdana" w:hAnsi="Verdana" w:cs="Arial"/>
                <w:b/>
                <w:bCs/>
                <w:sz w:val="22"/>
                <w:szCs w:val="22"/>
                <w:lang w:val="es-CO" w:eastAsia="es-CO"/>
              </w:rPr>
              <w:t>3.5 Circunstancias jurídicas adicionales</w:t>
            </w:r>
          </w:p>
          <w:p w14:paraId="00C9FA92" w14:textId="77777777" w:rsidR="00196F7C" w:rsidRPr="00EA3808" w:rsidRDefault="00196F7C" w:rsidP="086CF79C">
            <w:pPr>
              <w:pStyle w:val="NormalWeb"/>
              <w:spacing w:before="0" w:beforeAutospacing="0" w:after="0" w:afterAutospacing="0"/>
              <w:jc w:val="both"/>
              <w:rPr>
                <w:rFonts w:ascii="Verdana" w:eastAsia="Times New Roman" w:hAnsi="Verdana" w:cs="Arial"/>
                <w:color w:val="000000"/>
                <w:sz w:val="22"/>
                <w:szCs w:val="22"/>
                <w:lang w:val="es-CO" w:eastAsia="es-CO"/>
              </w:rPr>
            </w:pPr>
          </w:p>
          <w:p w14:paraId="055AE95D" w14:textId="498A968F" w:rsidR="007022AA" w:rsidRPr="00EA3808" w:rsidRDefault="373D91B3" w:rsidP="086CF79C">
            <w:pPr>
              <w:pStyle w:val="NormalWeb"/>
              <w:spacing w:before="0" w:beforeAutospacing="0" w:afterLines="200" w:after="480" w:afterAutospacing="0" w:line="276" w:lineRule="auto"/>
              <w:jc w:val="both"/>
              <w:rPr>
                <w:rFonts w:ascii="Verdana" w:eastAsia="Times New Roman" w:hAnsi="Verdana" w:cs="Arial"/>
                <w:color w:val="000000"/>
                <w:sz w:val="22"/>
                <w:szCs w:val="22"/>
                <w:lang w:val="es-CO" w:eastAsia="es-CO"/>
              </w:rPr>
            </w:pPr>
            <w:r w:rsidRPr="00D000D8">
              <w:rPr>
                <w:rFonts w:ascii="Verdana" w:eastAsia="Verdana" w:hAnsi="Verdana" w:cs="Verdana"/>
                <w:sz w:val="21"/>
                <w:szCs w:val="21"/>
                <w:lang w:val="es-CO"/>
              </w:rPr>
              <w:t xml:space="preserve">Si bien este acto administrativo de delimitación, por su carácter general, no requiere de consulta previa, la resolución aborda esta circunstancia jurídica de manera directa al establecer las garantías para su cumplimiento. Con pleno conocimiento de la presencia de comunidades étnicas en </w:t>
            </w:r>
            <w:r w:rsidR="722F7E63" w:rsidRPr="00D000D8">
              <w:rPr>
                <w:rFonts w:ascii="Verdana" w:eastAsia="Verdana" w:hAnsi="Verdana" w:cs="Verdana"/>
                <w:sz w:val="21"/>
                <w:szCs w:val="21"/>
                <w:lang w:val="es-CO"/>
              </w:rPr>
              <w:t>el área de referencia del páramo</w:t>
            </w:r>
            <w:r w:rsidRPr="00D000D8">
              <w:rPr>
                <w:rFonts w:ascii="Verdana" w:eastAsia="Verdana" w:hAnsi="Verdana" w:cs="Verdana"/>
                <w:sz w:val="21"/>
                <w:szCs w:val="21"/>
                <w:lang w:val="es-CO"/>
              </w:rPr>
              <w:t xml:space="preserve">, el proyecto de resolución garantiza el derecho fundamental a la consulta previa de las comunidades negras afrocolombianas, raizales y palenqueras, Pueblos Indígenas y el Pueblo </w:t>
            </w:r>
            <w:proofErr w:type="spellStart"/>
            <w:r w:rsidRPr="00D000D8">
              <w:rPr>
                <w:rFonts w:ascii="Verdana" w:eastAsia="Verdana" w:hAnsi="Verdana" w:cs="Verdana"/>
                <w:sz w:val="21"/>
                <w:szCs w:val="21"/>
                <w:lang w:val="es-CO"/>
              </w:rPr>
              <w:t>Rrom</w:t>
            </w:r>
            <w:proofErr w:type="spellEnd"/>
            <w:r w:rsidRPr="00D000D8">
              <w:rPr>
                <w:rFonts w:ascii="Verdana" w:eastAsia="Verdana" w:hAnsi="Verdana" w:cs="Verdana"/>
                <w:sz w:val="21"/>
                <w:szCs w:val="21"/>
                <w:lang w:val="es-CO"/>
              </w:rPr>
              <w:t xml:space="preserve"> cuando haya lugar, específicamente en la etapa de diseño e implementación de</w:t>
            </w:r>
            <w:r w:rsidR="722F7E63" w:rsidRPr="00D000D8">
              <w:rPr>
                <w:rFonts w:ascii="Verdana" w:eastAsia="Verdana" w:hAnsi="Verdana" w:cs="Verdana"/>
                <w:sz w:val="21"/>
                <w:szCs w:val="21"/>
                <w:lang w:val="es-CO"/>
              </w:rPr>
              <w:t xml:space="preserve">l </w:t>
            </w:r>
            <w:r w:rsidRPr="00D000D8">
              <w:rPr>
                <w:rFonts w:ascii="Verdana" w:eastAsia="Verdana" w:hAnsi="Verdana" w:cs="Verdana"/>
                <w:sz w:val="21"/>
                <w:szCs w:val="21"/>
                <w:lang w:val="es-CO"/>
              </w:rPr>
              <w:t>Plan</w:t>
            </w:r>
            <w:r w:rsidR="722F7E63" w:rsidRPr="00D000D8">
              <w:rPr>
                <w:rFonts w:ascii="Verdana" w:eastAsia="Verdana" w:hAnsi="Verdana" w:cs="Verdana"/>
                <w:sz w:val="21"/>
                <w:szCs w:val="21"/>
                <w:lang w:val="es-CO"/>
              </w:rPr>
              <w:t xml:space="preserve"> de Manejo Ambiental</w:t>
            </w:r>
            <w:r w:rsidRPr="00D000D8">
              <w:rPr>
                <w:rFonts w:ascii="Verdana" w:eastAsia="Verdana" w:hAnsi="Verdana" w:cs="Verdana"/>
                <w:sz w:val="21"/>
                <w:szCs w:val="21"/>
                <w:lang w:val="es-CO"/>
              </w:rPr>
              <w:t>, de acuerdo con los estándares de la Corte Constitucional. El diálogo participativo y la construcción de acuerdos se configuran como un proceso permanente y una herramienta fundamental en la formulación, implementación, evaluación y seguimiento de</w:t>
            </w:r>
            <w:r w:rsidR="722F7E63" w:rsidRPr="00D000D8">
              <w:rPr>
                <w:rFonts w:ascii="Verdana" w:eastAsia="Verdana" w:hAnsi="Verdana" w:cs="Verdana"/>
                <w:sz w:val="21"/>
                <w:szCs w:val="21"/>
                <w:lang w:val="es-CO"/>
              </w:rPr>
              <w:t xml:space="preserve">l </w:t>
            </w:r>
            <w:r w:rsidRPr="00D000D8">
              <w:rPr>
                <w:rFonts w:ascii="Verdana" w:eastAsia="Verdana" w:hAnsi="Verdana" w:cs="Verdana"/>
                <w:sz w:val="21"/>
                <w:szCs w:val="21"/>
                <w:lang w:val="es-CO"/>
              </w:rPr>
              <w:t xml:space="preserve">Plan </w:t>
            </w:r>
            <w:r w:rsidR="722F7E63" w:rsidRPr="00D000D8">
              <w:rPr>
                <w:rFonts w:ascii="Verdana" w:eastAsia="Verdana" w:hAnsi="Verdana" w:cs="Verdana"/>
                <w:sz w:val="21"/>
                <w:szCs w:val="21"/>
                <w:lang w:val="es-CO"/>
              </w:rPr>
              <w:t>de Manejo Ambiental</w:t>
            </w:r>
            <w:r w:rsidRPr="00D000D8">
              <w:rPr>
                <w:rFonts w:ascii="Verdana" w:eastAsia="Verdana" w:hAnsi="Verdana" w:cs="Verdana"/>
                <w:sz w:val="21"/>
                <w:szCs w:val="21"/>
                <w:lang w:val="es-CO"/>
              </w:rPr>
              <w:t>.</w:t>
            </w:r>
          </w:p>
        </w:tc>
      </w:tr>
      <w:tr w:rsidR="00DF60FD" w:rsidRPr="00EA3808" w14:paraId="6DBA25BB" w14:textId="77777777" w:rsidTr="086CF79C">
        <w:trPr>
          <w:trHeight w:val="925"/>
        </w:trPr>
        <w:tc>
          <w:tcPr>
            <w:tcW w:w="1077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BB0B42" w14:textId="77777777" w:rsidR="00DF60FD" w:rsidRPr="00EA3808" w:rsidRDefault="00DF60FD" w:rsidP="005B25BE">
            <w:pPr>
              <w:numPr>
                <w:ilvl w:val="0"/>
                <w:numId w:val="2"/>
              </w:numPr>
              <w:rPr>
                <w:rFonts w:ascii="Verdana" w:hAnsi="Verdana" w:cs="Arial"/>
                <w:b/>
                <w:color w:val="000000"/>
                <w:sz w:val="22"/>
                <w:szCs w:val="22"/>
              </w:rPr>
            </w:pPr>
            <w:r w:rsidRPr="00EA3808">
              <w:rPr>
                <w:rFonts w:ascii="Verdana" w:hAnsi="Verdana" w:cs="Arial"/>
                <w:b/>
                <w:color w:val="000000"/>
                <w:sz w:val="22"/>
                <w:szCs w:val="22"/>
              </w:rPr>
              <w:lastRenderedPageBreak/>
              <w:t xml:space="preserve">IMPACTO ECONÓMICO </w:t>
            </w:r>
            <w:r w:rsidR="00D05B67" w:rsidRPr="00EA3808">
              <w:rPr>
                <w:rFonts w:ascii="Verdana" w:hAnsi="Verdana" w:cs="Arial"/>
                <w:color w:val="000000"/>
                <w:sz w:val="22"/>
                <w:szCs w:val="22"/>
              </w:rPr>
              <w:t>(Si se requiere)</w:t>
            </w:r>
          </w:p>
          <w:p w14:paraId="26CDE51E" w14:textId="1BEA8369" w:rsidR="00843EFF" w:rsidRPr="00EA3808" w:rsidRDefault="64D7C5F5" w:rsidP="4095ADAA">
            <w:pPr>
              <w:spacing w:before="210" w:after="210" w:line="300" w:lineRule="auto"/>
              <w:jc w:val="both"/>
              <w:rPr>
                <w:rFonts w:ascii="Verdana" w:eastAsia="Verdana" w:hAnsi="Verdana" w:cs="Verdana"/>
                <w:sz w:val="21"/>
                <w:szCs w:val="21"/>
                <w:lang w:val="es-CO"/>
              </w:rPr>
            </w:pPr>
            <w:r w:rsidRPr="00EA3808">
              <w:rPr>
                <w:rFonts w:ascii="Verdana" w:eastAsia="Verdana" w:hAnsi="Verdana" w:cs="Verdana"/>
                <w:sz w:val="21"/>
                <w:szCs w:val="21"/>
                <w:lang w:val="es-CO"/>
              </w:rPr>
              <w:t xml:space="preserve">La expedición de la presente resolución no genera un impacto fiscal directo o inmediato sobre el Presupuesto General de la Nación, ni implica la creación de nuevas rentas, tributos, tasas, contribuciones o gastos obligatorios adicionales para las entidades públicas. La medida se adopta en ejercicio de las competencias constitucionales y legales asignadas al Ministerio de Ambiente y Desarrollo Sostenible para la delimitación y protección de los ecosistemas de páramo </w:t>
            </w:r>
            <w:r w:rsidR="6DCF6126" w:rsidRPr="00EA3808">
              <w:rPr>
                <w:rFonts w:ascii="Verdana" w:eastAsia="Verdana" w:hAnsi="Verdana" w:cs="Verdana"/>
                <w:sz w:val="21"/>
                <w:szCs w:val="21"/>
                <w:lang w:val="es-CO"/>
              </w:rPr>
              <w:t xml:space="preserve">desde la Ley 1450 de 2011 </w:t>
            </w:r>
            <w:r w:rsidRPr="00EA3808">
              <w:rPr>
                <w:rFonts w:ascii="Verdana" w:eastAsia="Verdana" w:hAnsi="Verdana" w:cs="Verdana"/>
                <w:sz w:val="21"/>
                <w:szCs w:val="21"/>
                <w:lang w:val="es-CO"/>
              </w:rPr>
              <w:t>y en cumplimiento de una orden judicial derivada de la Sentencia T-361 de 2017.</w:t>
            </w:r>
          </w:p>
          <w:p w14:paraId="45CF85BF" w14:textId="340ADBAB" w:rsidR="00843EFF" w:rsidRPr="00EA3808" w:rsidRDefault="64D7C5F5" w:rsidP="4095ADAA">
            <w:pPr>
              <w:spacing w:before="210" w:after="210" w:line="300" w:lineRule="auto"/>
              <w:jc w:val="both"/>
              <w:rPr>
                <w:rFonts w:ascii="Verdana" w:eastAsia="Verdana" w:hAnsi="Verdana" w:cs="Verdana"/>
                <w:sz w:val="21"/>
                <w:szCs w:val="21"/>
                <w:lang w:val="es-CO"/>
              </w:rPr>
            </w:pPr>
            <w:r w:rsidRPr="00EA3808">
              <w:rPr>
                <w:rFonts w:ascii="Verdana" w:eastAsia="Verdana" w:hAnsi="Verdana" w:cs="Verdana"/>
                <w:sz w:val="21"/>
                <w:szCs w:val="21"/>
                <w:lang w:val="es-CO"/>
              </w:rPr>
              <w:t xml:space="preserve">La delimitación progresiva del Complejo de Páramos Jurisdicciones–Santurbán–Berlín constituye una medida de ordenamiento ambiental que busca garantizar la conservación de un ecosistema </w:t>
            </w:r>
            <w:r w:rsidRPr="00EA3808">
              <w:rPr>
                <w:rFonts w:ascii="Verdana" w:eastAsia="Verdana" w:hAnsi="Verdana" w:cs="Verdana"/>
                <w:sz w:val="21"/>
                <w:szCs w:val="21"/>
                <w:lang w:val="es-CO"/>
              </w:rPr>
              <w:lastRenderedPageBreak/>
              <w:t>estratégico para la seguridad hídrica regional y nacional, evitando costos ambientales, sociales y económicos asociados a la degradación del páramo, la pérdida de biodiversidad, la disminución de la regulación hídrica y el deterioro de los servicios ecosistémicos que benefician a más de 2,5 millones de personas en los departamentos de Santander y Norte de Santander.</w:t>
            </w:r>
          </w:p>
          <w:p w14:paraId="232C5206" w14:textId="616AA47C" w:rsidR="00843EFF" w:rsidRPr="00EA3808" w:rsidRDefault="64D7C5F5" w:rsidP="4095ADAA">
            <w:pPr>
              <w:spacing w:before="210" w:after="210" w:line="300" w:lineRule="auto"/>
              <w:jc w:val="both"/>
              <w:rPr>
                <w:rFonts w:ascii="Verdana" w:eastAsia="Verdana" w:hAnsi="Verdana" w:cs="Verdana"/>
                <w:sz w:val="21"/>
                <w:szCs w:val="21"/>
                <w:lang w:val="es-CO"/>
              </w:rPr>
            </w:pPr>
            <w:r w:rsidRPr="00EA3808">
              <w:rPr>
                <w:rFonts w:ascii="Verdana" w:eastAsia="Verdana" w:hAnsi="Verdana" w:cs="Verdana"/>
                <w:sz w:val="21"/>
                <w:szCs w:val="21"/>
                <w:lang w:val="es-CO"/>
              </w:rPr>
              <w:t>Asimismo, la resolución contribuye a reducir escenarios de incertidumbre jurídica derivados del proceso de delimitación ordenado por la Corte Constitucional, generando mayor seguridad para las autoridades ambientales, las entidades territoriales, los sectores productivos y las comunidades involucradas. De igual forma, permite orientar de manera progresiva las inversiones públicas y privadas hacia actividades compatibles con la conservación del ecosistema y facilita la implementación de instrumentos económicos existentes, tales como pagos por servicios ambientales, programas de reconversión productiva, esquemas de restauración ecológica y mecanismos de financiamiento ambiental previstos en la normativa vigente.</w:t>
            </w:r>
          </w:p>
          <w:p w14:paraId="31A4181C" w14:textId="37F13F8A" w:rsidR="00843EFF" w:rsidRPr="00EA3808" w:rsidRDefault="64D7C5F5" w:rsidP="4095ADAA">
            <w:pPr>
              <w:spacing w:before="210" w:after="210" w:line="300" w:lineRule="auto"/>
              <w:jc w:val="both"/>
              <w:rPr>
                <w:rFonts w:ascii="Verdana" w:eastAsia="Verdana" w:hAnsi="Verdana" w:cs="Verdana"/>
                <w:sz w:val="21"/>
                <w:szCs w:val="21"/>
                <w:lang w:val="es-CO"/>
              </w:rPr>
            </w:pPr>
            <w:r w:rsidRPr="00EA3808">
              <w:rPr>
                <w:rFonts w:ascii="Verdana" w:eastAsia="Verdana" w:hAnsi="Verdana" w:cs="Verdana"/>
                <w:sz w:val="21"/>
                <w:szCs w:val="21"/>
                <w:lang w:val="es-CO"/>
              </w:rPr>
              <w:t>Los costos asociados a la implementación de las medidas previstas en la resolución serán atendidos por las entidades competentes dentro del marco de sus funciones y de las apropiaciones presupuestales disponibles, así como mediante los mecanismos de financiación, cofinanciación e incentivos contemplados en la Ley 99 de 1993, la Ley 1930 de 2018 y demás instrumentos de gestión ambiental aplicables. En consecuencia, la expedición del acto administrativo no requiere una apropiación presupuestal adicional para su entrada en vigencia.</w:t>
            </w:r>
          </w:p>
          <w:p w14:paraId="3BBD718E" w14:textId="3EF2AEBA" w:rsidR="00843EFF" w:rsidRPr="00D000D8" w:rsidRDefault="64D7C5F5" w:rsidP="00D000D8">
            <w:pPr>
              <w:spacing w:before="210" w:after="210" w:line="300" w:lineRule="auto"/>
              <w:jc w:val="both"/>
              <w:rPr>
                <w:rFonts w:ascii="Verdana" w:eastAsia="Verdana" w:hAnsi="Verdana" w:cs="Verdana"/>
                <w:sz w:val="21"/>
                <w:szCs w:val="21"/>
                <w:lang w:val="es-CO"/>
              </w:rPr>
            </w:pPr>
            <w:r w:rsidRPr="00EA3808">
              <w:rPr>
                <w:rFonts w:ascii="Verdana" w:eastAsia="Verdana" w:hAnsi="Verdana" w:cs="Verdana"/>
                <w:sz w:val="21"/>
                <w:szCs w:val="21"/>
                <w:lang w:val="es-CO"/>
              </w:rPr>
              <w:t>Finalmente, desde una perspectiva costo-beneficio, la medida genera impactos económicos positivos al contribuir a la conservación de las fuentes hídricas que abastecen centros urbanos, actividades agropecuarias, industriales y energéticas de la región, fortaleciendo la seguridad hídrica, la resiliencia climática y la sostenibilidad de las actividades económicas que dependen de los servicios ecosistémicos prestados por el Complejo de Páramos Jurisdicciones–Santurbán–Berlín.</w:t>
            </w:r>
          </w:p>
        </w:tc>
      </w:tr>
      <w:tr w:rsidR="00DF60FD" w:rsidRPr="00EA3808" w14:paraId="505DB3F3" w14:textId="77777777" w:rsidTr="086CF79C">
        <w:trPr>
          <w:trHeight w:val="66"/>
        </w:trPr>
        <w:tc>
          <w:tcPr>
            <w:tcW w:w="1077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466C46" w14:textId="77777777" w:rsidR="00DF60FD" w:rsidRPr="00EA3808" w:rsidRDefault="00795C6B" w:rsidP="005B25BE">
            <w:pPr>
              <w:numPr>
                <w:ilvl w:val="0"/>
                <w:numId w:val="2"/>
              </w:numPr>
              <w:rPr>
                <w:rFonts w:ascii="Verdana" w:hAnsi="Verdana" w:cs="Arial"/>
                <w:b/>
                <w:color w:val="000000"/>
                <w:sz w:val="22"/>
                <w:szCs w:val="22"/>
              </w:rPr>
            </w:pPr>
            <w:r w:rsidRPr="00EA3808">
              <w:rPr>
                <w:rFonts w:ascii="Verdana" w:hAnsi="Verdana" w:cs="Arial"/>
                <w:b/>
                <w:color w:val="000000"/>
                <w:sz w:val="22"/>
                <w:szCs w:val="22"/>
              </w:rPr>
              <w:t xml:space="preserve">VIABILIDAD O </w:t>
            </w:r>
            <w:r w:rsidR="00DF60FD" w:rsidRPr="00EA3808">
              <w:rPr>
                <w:rFonts w:ascii="Verdana" w:hAnsi="Verdana" w:cs="Arial"/>
                <w:b/>
                <w:color w:val="000000"/>
                <w:sz w:val="22"/>
                <w:szCs w:val="22"/>
              </w:rPr>
              <w:t xml:space="preserve">DISPONIBILIDAD PRESUPUESTAL </w:t>
            </w:r>
            <w:r w:rsidR="00D05B67" w:rsidRPr="00EA3808">
              <w:rPr>
                <w:rFonts w:ascii="Verdana" w:hAnsi="Verdana" w:cs="Arial"/>
                <w:color w:val="000000"/>
                <w:sz w:val="22"/>
                <w:szCs w:val="22"/>
              </w:rPr>
              <w:t>(Si se requiere)</w:t>
            </w:r>
          </w:p>
          <w:p w14:paraId="3DB47E4A" w14:textId="71E0D2CD" w:rsidR="00D000D8" w:rsidRPr="00EA3808" w:rsidRDefault="00D000D8" w:rsidP="00D000D8">
            <w:pPr>
              <w:pStyle w:val="Listavistosa-nfasis11"/>
              <w:ind w:left="0"/>
              <w:jc w:val="both"/>
              <w:rPr>
                <w:rFonts w:ascii="Verdana" w:hAnsi="Verdana" w:cs="Arial"/>
                <w:i/>
                <w:color w:val="808080"/>
                <w:sz w:val="18"/>
              </w:rPr>
            </w:pPr>
            <w:r>
              <w:rPr>
                <w:rFonts w:ascii="Verdana" w:hAnsi="Verdana" w:cs="Arial"/>
                <w:i/>
                <w:color w:val="808080"/>
                <w:sz w:val="18"/>
              </w:rPr>
              <w:t>N/A</w:t>
            </w:r>
          </w:p>
        </w:tc>
      </w:tr>
      <w:tr w:rsidR="00DF60FD" w:rsidRPr="00EA3808" w14:paraId="5DCC1735" w14:textId="77777777" w:rsidTr="086CF79C">
        <w:trPr>
          <w:trHeight w:val="687"/>
        </w:trPr>
        <w:tc>
          <w:tcPr>
            <w:tcW w:w="10774" w:type="dxa"/>
            <w:gridSpan w:val="3"/>
            <w:tcBorders>
              <w:top w:val="single" w:sz="4" w:space="0" w:color="auto"/>
              <w:bottom w:val="single" w:sz="4" w:space="0" w:color="auto"/>
            </w:tcBorders>
            <w:shd w:val="clear" w:color="auto" w:fill="FFFFFF" w:themeFill="background1"/>
            <w:vAlign w:val="center"/>
          </w:tcPr>
          <w:p w14:paraId="35CD4DAA" w14:textId="77777777" w:rsidR="00DF60FD" w:rsidRPr="00EA3808" w:rsidRDefault="00DF60FD" w:rsidP="005B25BE">
            <w:pPr>
              <w:numPr>
                <w:ilvl w:val="0"/>
                <w:numId w:val="2"/>
              </w:numPr>
              <w:jc w:val="both"/>
              <w:rPr>
                <w:rFonts w:ascii="Verdana" w:hAnsi="Verdana" w:cs="Arial"/>
                <w:b/>
                <w:color w:val="000000"/>
                <w:sz w:val="22"/>
                <w:szCs w:val="22"/>
              </w:rPr>
            </w:pPr>
            <w:r w:rsidRPr="00EA3808">
              <w:rPr>
                <w:rFonts w:ascii="Verdana" w:hAnsi="Verdana" w:cs="Arial"/>
                <w:b/>
                <w:color w:val="000000"/>
                <w:sz w:val="22"/>
                <w:szCs w:val="22"/>
              </w:rPr>
              <w:t xml:space="preserve">IMPACTO MEDIOAMBIENTAL O SOBRE EL PATRIMONIO CULTURAL DE LA NACIÓN </w:t>
            </w:r>
            <w:r w:rsidR="00D05B67" w:rsidRPr="00EA3808">
              <w:rPr>
                <w:rFonts w:ascii="Verdana" w:hAnsi="Verdana" w:cs="Arial"/>
                <w:color w:val="000000"/>
                <w:sz w:val="22"/>
                <w:szCs w:val="22"/>
              </w:rPr>
              <w:t>(Si se requiere)</w:t>
            </w:r>
          </w:p>
          <w:p w14:paraId="6B35BDB5" w14:textId="77777777" w:rsidR="001A1E25" w:rsidRPr="00EA3808" w:rsidRDefault="001A1E25" w:rsidP="00E55C50">
            <w:pPr>
              <w:jc w:val="both"/>
              <w:rPr>
                <w:rFonts w:ascii="Verdana" w:hAnsi="Verdana" w:cs="Arial"/>
                <w:i/>
                <w:color w:val="808080"/>
                <w:sz w:val="18"/>
              </w:rPr>
            </w:pPr>
          </w:p>
          <w:p w14:paraId="07BBCA15" w14:textId="33A96F1C" w:rsidR="00AE6663" w:rsidRPr="00D000D8" w:rsidRDefault="30172C5A" w:rsidP="4095ADAA">
            <w:pPr>
              <w:jc w:val="both"/>
              <w:rPr>
                <w:rFonts w:ascii="Verdana" w:eastAsia="Verdana" w:hAnsi="Verdana" w:cs="Verdana"/>
                <w:sz w:val="21"/>
                <w:szCs w:val="21"/>
                <w:lang w:val="es-CO"/>
              </w:rPr>
            </w:pPr>
            <w:r w:rsidRPr="00D000D8">
              <w:rPr>
                <w:rFonts w:ascii="Verdana" w:eastAsia="Verdana" w:hAnsi="Verdana" w:cs="Verdana"/>
                <w:sz w:val="21"/>
                <w:szCs w:val="21"/>
                <w:lang w:val="es-CO"/>
              </w:rPr>
              <w:t xml:space="preserve">Conforme a lo establecido en la constitución Política, La Ley 99 de 1993, el decreto 3570 de 2011, la Ley 1930 de 2018 y la jurisprudencia constitucional aplicable en materia de protección de ecosistemas de páramo, el presente proyecto normativo tiene un impacto ambiental, en tanto busca adoptar la delimitación del </w:t>
            </w:r>
            <w:r w:rsidR="297A9AE7" w:rsidRPr="00D000D8">
              <w:rPr>
                <w:rFonts w:ascii="Verdana" w:eastAsia="Verdana" w:hAnsi="Verdana" w:cs="Verdana"/>
                <w:sz w:val="21"/>
                <w:szCs w:val="21"/>
                <w:lang w:val="es-CO"/>
              </w:rPr>
              <w:t>Complejo de Páramos Jurisdicciones–Santurbán–Berlín</w:t>
            </w:r>
            <w:r w:rsidR="15A88F6F" w:rsidRPr="00D000D8">
              <w:rPr>
                <w:rFonts w:ascii="Verdana" w:eastAsia="Verdana" w:hAnsi="Verdana" w:cs="Verdana"/>
                <w:sz w:val="21"/>
                <w:szCs w:val="21"/>
                <w:lang w:val="es-CO"/>
              </w:rPr>
              <w:t xml:space="preserve">. La delimitación constituye un instrumento jurídico para orientar la protección y gestión integral del ecosistema, así como para prevenir intervenciones o actividades que puedan afectar su integridad ecológica, sus servicios </w:t>
            </w:r>
            <w:r w:rsidR="15A88F6F" w:rsidRPr="00D000D8">
              <w:rPr>
                <w:rFonts w:ascii="Verdana" w:eastAsia="Verdana" w:hAnsi="Verdana" w:cs="Verdana"/>
                <w:sz w:val="21"/>
                <w:szCs w:val="21"/>
                <w:lang w:val="es-CO"/>
              </w:rPr>
              <w:lastRenderedPageBreak/>
              <w:t>ecosistémicos y las funciones ambientales que cumple el territorio, descritas en el apartado de antecedentes.</w:t>
            </w:r>
          </w:p>
          <w:p w14:paraId="59E8BC54" w14:textId="1D563A10" w:rsidR="00AE6663" w:rsidRPr="00D000D8" w:rsidRDefault="00AE6663" w:rsidP="4095ADAA">
            <w:pPr>
              <w:jc w:val="both"/>
              <w:rPr>
                <w:rFonts w:ascii="Verdana" w:eastAsia="Verdana" w:hAnsi="Verdana" w:cs="Verdana"/>
                <w:sz w:val="21"/>
                <w:szCs w:val="21"/>
                <w:lang w:val="es-CO"/>
              </w:rPr>
            </w:pPr>
          </w:p>
          <w:p w14:paraId="1C62D177" w14:textId="260FDAFD" w:rsidR="00AE6663" w:rsidRPr="00D000D8" w:rsidRDefault="76783F45" w:rsidP="00D000D8">
            <w:pPr>
              <w:jc w:val="both"/>
              <w:rPr>
                <w:rFonts w:ascii="Verdana" w:eastAsia="Verdana" w:hAnsi="Verdana" w:cs="Verdana"/>
                <w:sz w:val="21"/>
                <w:szCs w:val="21"/>
                <w:lang w:val="es-CO"/>
              </w:rPr>
            </w:pPr>
            <w:r w:rsidRPr="00D000D8">
              <w:rPr>
                <w:rFonts w:ascii="Verdana" w:eastAsia="Verdana" w:hAnsi="Verdana" w:cs="Verdana"/>
                <w:sz w:val="21"/>
                <w:szCs w:val="21"/>
                <w:lang w:val="es-CO"/>
              </w:rPr>
              <w:t xml:space="preserve">Así las cosas, la presente resolución genera un impacto ambiental positivo, toda vez que tiene por objeto la delimitación progresiva del Complejo de Páramos Jurisdicciones–Santurbán–Berlín, ecosistema estratégico de especial importancia para la conservación de la biodiversidad, la regulación hídrica, la adaptación al cambio climático y la provisión de servicios ecosistémicos esenciales para la población. La medida fortalece la protección de un ecosistema del cual dependen aproximadamente 2,5 millones de personas para el abastecimiento de agua y contribuye a la conservación de las fuentes hídricas que surten a múltiples municipios de los departamentos de Santander y Norte de Santander. </w:t>
            </w:r>
          </w:p>
          <w:p w14:paraId="2E017F88" w14:textId="2FAD6952" w:rsidR="00AE6663" w:rsidRPr="00D000D8" w:rsidRDefault="76783F45" w:rsidP="00D000D8">
            <w:pPr>
              <w:jc w:val="both"/>
              <w:rPr>
                <w:rFonts w:ascii="Verdana" w:eastAsia="Verdana" w:hAnsi="Verdana" w:cs="Verdana"/>
                <w:sz w:val="21"/>
                <w:szCs w:val="21"/>
                <w:lang w:val="es-CO"/>
              </w:rPr>
            </w:pPr>
            <w:r w:rsidRPr="00D000D8">
              <w:rPr>
                <w:rFonts w:ascii="Verdana" w:eastAsia="Verdana" w:hAnsi="Verdana" w:cs="Verdana"/>
                <w:sz w:val="21"/>
                <w:szCs w:val="21"/>
                <w:lang w:val="es-CO"/>
              </w:rPr>
              <w:t xml:space="preserve">La delimitación progresiva permite consolidar medidas de protección en aquellos municipios donde culminó el proceso participativo ordenado por la Sentencia T-361 de 2017, evitando vacíos de protección ambiental y reduciendo riesgos asociados a la expansión de actividades incompatibles con la conservación del páramo, tales como la minería, la expansión urbana y otras actividades de alto impacto. Asimismo, contribuye a la preservación de la biodiversidad, la conectividad ecológica, la regulación de caudales y la conservación de zonas de recarga hídrica estratégicas para la región. </w:t>
            </w:r>
          </w:p>
          <w:p w14:paraId="055F0547" w14:textId="3C190152" w:rsidR="00AE6663" w:rsidRPr="00D000D8" w:rsidRDefault="76783F45" w:rsidP="00D000D8">
            <w:pPr>
              <w:jc w:val="both"/>
              <w:rPr>
                <w:rFonts w:ascii="Verdana" w:eastAsia="Verdana" w:hAnsi="Verdana" w:cs="Verdana"/>
                <w:sz w:val="21"/>
                <w:szCs w:val="21"/>
                <w:lang w:val="es-CO"/>
              </w:rPr>
            </w:pPr>
            <w:r w:rsidRPr="00D000D8">
              <w:rPr>
                <w:rFonts w:ascii="Verdana" w:eastAsia="Verdana" w:hAnsi="Verdana" w:cs="Verdana"/>
                <w:sz w:val="21"/>
                <w:szCs w:val="21"/>
                <w:lang w:val="es-CO"/>
              </w:rPr>
              <w:t xml:space="preserve">La resolución </w:t>
            </w:r>
            <w:r w:rsidR="4C5FB02A" w:rsidRPr="00D000D8">
              <w:rPr>
                <w:rFonts w:ascii="Verdana" w:eastAsia="Verdana" w:hAnsi="Verdana" w:cs="Verdana"/>
                <w:sz w:val="21"/>
                <w:szCs w:val="21"/>
                <w:lang w:val="es-CO"/>
              </w:rPr>
              <w:t xml:space="preserve">delimita el área en la que se </w:t>
            </w:r>
            <w:r w:rsidRPr="00D000D8">
              <w:rPr>
                <w:rFonts w:ascii="Verdana" w:eastAsia="Verdana" w:hAnsi="Verdana" w:cs="Verdana"/>
                <w:sz w:val="21"/>
                <w:szCs w:val="21"/>
                <w:lang w:val="es-CO"/>
              </w:rPr>
              <w:t>incorpora</w:t>
            </w:r>
            <w:r w:rsidR="3B9C0FD2" w:rsidRPr="00D000D8">
              <w:rPr>
                <w:rFonts w:ascii="Verdana" w:eastAsia="Verdana" w:hAnsi="Verdana" w:cs="Verdana"/>
                <w:sz w:val="21"/>
                <w:szCs w:val="21"/>
                <w:lang w:val="es-CO"/>
              </w:rPr>
              <w:t>rán</w:t>
            </w:r>
            <w:r w:rsidRPr="00D000D8">
              <w:rPr>
                <w:rFonts w:ascii="Verdana" w:eastAsia="Verdana" w:hAnsi="Verdana" w:cs="Verdana"/>
                <w:sz w:val="21"/>
                <w:szCs w:val="21"/>
                <w:lang w:val="es-CO"/>
              </w:rPr>
              <w:t xml:space="preserve"> medidas orientadas a promover procesos de restauración ecológica, reconversión productiva, protección de fuentes hídricas, monitoreo ambiental, participación comunitaria y fortalecimiento de la gobernanza ambiental, en aplicación de los principios de prevención, precaución, desarrollo sostenible y no regresión ambiental. En consecuencia, se espera una contribución significativa al mantenimiento y recuperación de las funciones ecológicas del ecosistema de páramo y a la seguridad hídrica regional. </w:t>
            </w:r>
          </w:p>
          <w:p w14:paraId="4A444EE3" w14:textId="432B137C" w:rsidR="00AE6663" w:rsidRDefault="76783F45" w:rsidP="00D000D8">
            <w:pPr>
              <w:jc w:val="both"/>
              <w:rPr>
                <w:rFonts w:ascii="Verdana" w:eastAsia="Verdana" w:hAnsi="Verdana" w:cs="Verdana"/>
                <w:sz w:val="21"/>
                <w:szCs w:val="21"/>
                <w:lang w:val="es-CO"/>
              </w:rPr>
            </w:pPr>
            <w:r w:rsidRPr="00D000D8">
              <w:rPr>
                <w:rFonts w:ascii="Verdana" w:eastAsia="Verdana" w:hAnsi="Verdana" w:cs="Verdana"/>
                <w:sz w:val="21"/>
                <w:szCs w:val="21"/>
                <w:lang w:val="es-CO"/>
              </w:rPr>
              <w:t>Respecto del patrimonio cultural de la Nación, no se identifican impactos negativos directos derivados de la expedición de la presente resolución. Por el contrario, la protección y conservación del ecosistema contribuye a preservar las prácticas tradicionales, el conocimiento local y las relaciones socioculturales asociadas históricamente al territorio paramuno. En todo caso, la implementación de las medidas derivadas de la presente resolución deberá observar las disposiciones constitucionales y legales aplicables en materia de protección del patrimonio cultural y, cuando corresponda, las garantías relacionadas con la participación de comunidades étnicas y demás grupos de especial protección</w:t>
            </w:r>
          </w:p>
          <w:p w14:paraId="7461450D" w14:textId="77777777" w:rsidR="00D000D8" w:rsidRPr="00D000D8" w:rsidRDefault="00D000D8" w:rsidP="00D000D8">
            <w:pPr>
              <w:jc w:val="both"/>
              <w:rPr>
                <w:rFonts w:ascii="Verdana" w:eastAsia="Verdana" w:hAnsi="Verdana" w:cs="Verdana"/>
                <w:sz w:val="21"/>
                <w:szCs w:val="21"/>
                <w:lang w:val="es-CO"/>
              </w:rPr>
            </w:pPr>
          </w:p>
          <w:p w14:paraId="39932A57" w14:textId="6A4EB8D3" w:rsidR="00AE6663" w:rsidRPr="00EA3808" w:rsidRDefault="2CFFAE79" w:rsidP="4095ADAA">
            <w:pPr>
              <w:jc w:val="both"/>
              <w:rPr>
                <w:rFonts w:ascii="Verdana" w:hAnsi="Verdana" w:cs="Arial"/>
                <w:color w:val="000000"/>
                <w:sz w:val="22"/>
                <w:szCs w:val="22"/>
              </w:rPr>
            </w:pPr>
            <w:r w:rsidRPr="00EA3808">
              <w:rPr>
                <w:rFonts w:ascii="Verdana" w:hAnsi="Verdana" w:cs="Arial"/>
                <w:color w:val="000000" w:themeColor="text1"/>
                <w:sz w:val="22"/>
                <w:szCs w:val="22"/>
              </w:rPr>
              <w:t>Asimismo, la expedición de la nueva resolución permite brindar certeza jurídica a las autoridades ambientales</w:t>
            </w:r>
            <w:r w:rsidR="2588E544" w:rsidRPr="00EA3808">
              <w:rPr>
                <w:rFonts w:ascii="Verdana" w:hAnsi="Verdana" w:cs="Arial"/>
                <w:color w:val="000000" w:themeColor="text1"/>
                <w:sz w:val="22"/>
                <w:szCs w:val="22"/>
              </w:rPr>
              <w:t>,</w:t>
            </w:r>
            <w:r w:rsidRPr="00EA3808">
              <w:rPr>
                <w:rFonts w:ascii="Verdana" w:hAnsi="Verdana" w:cs="Arial"/>
                <w:color w:val="000000" w:themeColor="text1"/>
                <w:sz w:val="22"/>
                <w:szCs w:val="22"/>
              </w:rPr>
              <w:t xml:space="preserve"> entidades territoriales,</w:t>
            </w:r>
            <w:r w:rsidR="1926C821" w:rsidRPr="00EA3808">
              <w:rPr>
                <w:rFonts w:ascii="Verdana" w:hAnsi="Verdana" w:cs="Arial"/>
                <w:color w:val="000000" w:themeColor="text1"/>
                <w:sz w:val="22"/>
                <w:szCs w:val="22"/>
              </w:rPr>
              <w:t xml:space="preserve"> habitantes del páramo, sector </w:t>
            </w:r>
            <w:r w:rsidR="39EBD93F" w:rsidRPr="00EA3808">
              <w:rPr>
                <w:rFonts w:ascii="Verdana" w:hAnsi="Verdana" w:cs="Arial"/>
                <w:color w:val="000000" w:themeColor="text1"/>
                <w:sz w:val="22"/>
                <w:szCs w:val="22"/>
              </w:rPr>
              <w:t>privado,</w:t>
            </w:r>
            <w:r w:rsidRPr="00EA3808">
              <w:rPr>
                <w:rFonts w:ascii="Verdana" w:hAnsi="Verdana" w:cs="Arial"/>
                <w:color w:val="000000" w:themeColor="text1"/>
                <w:sz w:val="22"/>
                <w:szCs w:val="22"/>
              </w:rPr>
              <w:t xml:space="preserve"> para la posterior implementación de</w:t>
            </w:r>
            <w:r w:rsidR="054FAA6A" w:rsidRPr="00EA3808">
              <w:rPr>
                <w:rFonts w:ascii="Verdana" w:hAnsi="Verdana" w:cs="Arial"/>
                <w:color w:val="000000" w:themeColor="text1"/>
                <w:sz w:val="22"/>
                <w:szCs w:val="22"/>
              </w:rPr>
              <w:t xml:space="preserve"> las medidas previstas en la Ley 1930 de 2018.</w:t>
            </w:r>
            <w:r w:rsidRPr="00EA3808">
              <w:rPr>
                <w:rFonts w:ascii="Verdana" w:hAnsi="Verdana" w:cs="Arial"/>
                <w:color w:val="000000" w:themeColor="text1"/>
                <w:sz w:val="22"/>
                <w:szCs w:val="22"/>
              </w:rPr>
              <w:t xml:space="preserve"> </w:t>
            </w:r>
          </w:p>
        </w:tc>
      </w:tr>
      <w:tr w:rsidR="00DF60FD" w:rsidRPr="00EA3808" w14:paraId="294F033D" w14:textId="77777777" w:rsidTr="086CF79C">
        <w:trPr>
          <w:trHeight w:val="317"/>
        </w:trPr>
        <w:tc>
          <w:tcPr>
            <w:tcW w:w="10774" w:type="dxa"/>
            <w:gridSpan w:val="3"/>
            <w:tcBorders>
              <w:top w:val="single" w:sz="4" w:space="0" w:color="auto"/>
              <w:bottom w:val="single" w:sz="4" w:space="0" w:color="auto"/>
            </w:tcBorders>
            <w:shd w:val="clear" w:color="auto" w:fill="FFFFFF" w:themeFill="background1"/>
            <w:vAlign w:val="center"/>
          </w:tcPr>
          <w:p w14:paraId="6ABD8060" w14:textId="52A2FA1C" w:rsidR="001A1E25" w:rsidRPr="00EA3808" w:rsidRDefault="00D05B67" w:rsidP="00D000D8">
            <w:pPr>
              <w:numPr>
                <w:ilvl w:val="0"/>
                <w:numId w:val="2"/>
              </w:numPr>
              <w:jc w:val="both"/>
              <w:rPr>
                <w:rFonts w:ascii="Verdana" w:hAnsi="Verdana" w:cs="Arial"/>
                <w:b/>
                <w:bCs/>
                <w:sz w:val="22"/>
                <w:szCs w:val="22"/>
              </w:rPr>
            </w:pPr>
            <w:r w:rsidRPr="00EA3808">
              <w:rPr>
                <w:rFonts w:ascii="Verdana" w:hAnsi="Verdana" w:cs="Arial"/>
                <w:b/>
                <w:sz w:val="22"/>
                <w:szCs w:val="22"/>
              </w:rPr>
              <w:t>ESTUDIOS TÉCNICOS QUE SUSTENTEN EL PROYECTO NORMATIVO</w:t>
            </w:r>
            <w:r w:rsidRPr="00EA3808">
              <w:rPr>
                <w:rFonts w:ascii="Verdana" w:hAnsi="Verdana" w:cs="Arial"/>
                <w:sz w:val="22"/>
                <w:szCs w:val="22"/>
              </w:rPr>
              <w:t xml:space="preserve"> </w:t>
            </w:r>
          </w:p>
          <w:p w14:paraId="02464C6B" w14:textId="6D07BFE0" w:rsidR="00AB07E6" w:rsidRPr="00D000D8" w:rsidRDefault="77275367" w:rsidP="4095ADAA">
            <w:pPr>
              <w:spacing w:before="210" w:after="210" w:line="300" w:lineRule="auto"/>
              <w:jc w:val="both"/>
              <w:rPr>
                <w:rFonts w:ascii="Verdana" w:eastAsia="Verdana" w:hAnsi="Verdana" w:cs="Verdana"/>
                <w:sz w:val="21"/>
                <w:szCs w:val="21"/>
                <w:lang w:val="es-CO"/>
              </w:rPr>
            </w:pPr>
            <w:r w:rsidRPr="00D000D8">
              <w:rPr>
                <w:rFonts w:ascii="Verdana" w:eastAsia="Verdana" w:hAnsi="Verdana" w:cs="Verdana"/>
                <w:sz w:val="21"/>
                <w:szCs w:val="21"/>
                <w:lang w:val="es-CO"/>
              </w:rPr>
              <w:t xml:space="preserve">La presente resolución se sustenta en los estudios técnicos, científicos, ambientales, sociales y económicos elaborados en el marco del proceso de delimitación del Complejo de Páramos Jurisdicciones–Santurbán–Berlín, de conformidad con lo dispuesto en el artículo 4 de la Ley 1930 de 2018 y las órdenes impartidas por la Corte Constitucional mediante la Sentencia T-361 de 2017. </w:t>
            </w:r>
          </w:p>
          <w:p w14:paraId="2C367236" w14:textId="6CB46408" w:rsidR="00AB07E6" w:rsidRPr="00D000D8" w:rsidRDefault="4DAEB177" w:rsidP="4095ADAA">
            <w:pPr>
              <w:spacing w:before="210" w:after="210" w:line="300" w:lineRule="auto"/>
              <w:jc w:val="both"/>
              <w:rPr>
                <w:rFonts w:ascii="Verdana" w:eastAsia="Verdana" w:hAnsi="Verdana" w:cs="Verdana"/>
                <w:sz w:val="21"/>
                <w:szCs w:val="21"/>
                <w:lang w:val="es-CO"/>
              </w:rPr>
            </w:pPr>
            <w:r w:rsidRPr="00D000D8">
              <w:rPr>
                <w:rFonts w:ascii="Verdana" w:eastAsia="Verdana" w:hAnsi="Verdana" w:cs="Verdana"/>
                <w:sz w:val="21"/>
                <w:szCs w:val="21"/>
                <w:lang w:val="es-CO"/>
              </w:rPr>
              <w:t>Inicialmente la delimitación de los 37 complejos</w:t>
            </w:r>
          </w:p>
          <w:p w14:paraId="3704F6AB" w14:textId="62F3932B" w:rsidR="00AB07E6" w:rsidRPr="00D000D8" w:rsidRDefault="77275367" w:rsidP="4095ADAA">
            <w:pPr>
              <w:spacing w:before="210" w:after="210" w:line="300" w:lineRule="auto"/>
              <w:jc w:val="both"/>
              <w:rPr>
                <w:rFonts w:ascii="Verdana" w:eastAsia="Verdana" w:hAnsi="Verdana" w:cs="Verdana"/>
                <w:sz w:val="21"/>
                <w:szCs w:val="21"/>
                <w:lang w:val="es-CO"/>
              </w:rPr>
            </w:pPr>
            <w:r w:rsidRPr="00D000D8">
              <w:rPr>
                <w:rFonts w:ascii="Verdana" w:eastAsia="Verdana" w:hAnsi="Verdana" w:cs="Verdana"/>
                <w:sz w:val="21"/>
                <w:szCs w:val="21"/>
                <w:lang w:val="es-CO"/>
              </w:rPr>
              <w:lastRenderedPageBreak/>
              <w:t xml:space="preserve">Como soporte principal se encuentra el documento elaborado por el Instituto de Investigación de Recursos Biológicos Alexander </w:t>
            </w:r>
            <w:proofErr w:type="spellStart"/>
            <w:r w:rsidRPr="00D000D8">
              <w:rPr>
                <w:rFonts w:ascii="Verdana" w:eastAsia="Verdana" w:hAnsi="Verdana" w:cs="Verdana"/>
                <w:sz w:val="21"/>
                <w:szCs w:val="21"/>
                <w:lang w:val="es-CO"/>
              </w:rPr>
              <w:t>von</w:t>
            </w:r>
            <w:proofErr w:type="spellEnd"/>
            <w:r w:rsidRPr="00D000D8">
              <w:rPr>
                <w:rFonts w:ascii="Verdana" w:eastAsia="Verdana" w:hAnsi="Verdana" w:cs="Verdana"/>
                <w:sz w:val="21"/>
                <w:szCs w:val="21"/>
                <w:lang w:val="es-CO"/>
              </w:rPr>
              <w:t xml:space="preserve"> Humboldt denominado</w:t>
            </w:r>
            <w:r w:rsidR="00D000D8">
              <w:rPr>
                <w:rFonts w:ascii="Verdana" w:eastAsia="Verdana" w:hAnsi="Verdana" w:cs="Verdana"/>
                <w:sz w:val="21"/>
                <w:szCs w:val="21"/>
                <w:lang w:val="es-CO"/>
              </w:rPr>
              <w:t xml:space="preserve"> </w:t>
            </w:r>
            <w:r w:rsidRPr="00D000D8">
              <w:rPr>
                <w:rFonts w:ascii="Verdana" w:eastAsia="Verdana" w:hAnsi="Verdana" w:cs="Verdana"/>
                <w:sz w:val="21"/>
                <w:szCs w:val="21"/>
                <w:lang w:val="es-CO"/>
              </w:rPr>
              <w:t xml:space="preserve">“Aportes a la delimitación del páramo mediante la identificación de los límites inferiores del ecosistema a escala 1:25.000”, utilizado inicialmente para la delimitación adoptada mediante la Resolución 2090 de 2014 y que identifica el área potencial de páramo con base en criterios de vegetación, clima, geología, geomorfología, hidrología y suelos. </w:t>
            </w:r>
          </w:p>
          <w:p w14:paraId="4725A5A4" w14:textId="7301851B" w:rsidR="00AB07E6" w:rsidRPr="00D000D8" w:rsidRDefault="77275367" w:rsidP="4095ADAA">
            <w:pPr>
              <w:spacing w:before="210" w:after="210" w:line="300" w:lineRule="auto"/>
              <w:jc w:val="both"/>
              <w:rPr>
                <w:rFonts w:ascii="Verdana" w:eastAsia="Verdana" w:hAnsi="Verdana" w:cs="Verdana"/>
                <w:sz w:val="21"/>
                <w:szCs w:val="21"/>
                <w:lang w:val="es-CO"/>
              </w:rPr>
            </w:pPr>
            <w:r w:rsidRPr="00D000D8">
              <w:rPr>
                <w:rFonts w:ascii="Verdana" w:eastAsia="Verdana" w:hAnsi="Verdana" w:cs="Verdana"/>
                <w:sz w:val="21"/>
                <w:szCs w:val="21"/>
                <w:lang w:val="es-CO"/>
              </w:rPr>
              <w:t xml:space="preserve">Adicionalmente, el Instituto Alexander </w:t>
            </w:r>
            <w:proofErr w:type="spellStart"/>
            <w:r w:rsidRPr="00D000D8">
              <w:rPr>
                <w:rFonts w:ascii="Verdana" w:eastAsia="Verdana" w:hAnsi="Verdana" w:cs="Verdana"/>
                <w:sz w:val="21"/>
                <w:szCs w:val="21"/>
                <w:lang w:val="es-CO"/>
              </w:rPr>
              <w:t>von</w:t>
            </w:r>
            <w:proofErr w:type="spellEnd"/>
            <w:r w:rsidRPr="00D000D8">
              <w:rPr>
                <w:rFonts w:ascii="Verdana" w:eastAsia="Verdana" w:hAnsi="Verdana" w:cs="Verdana"/>
                <w:sz w:val="21"/>
                <w:szCs w:val="21"/>
                <w:lang w:val="es-CO"/>
              </w:rPr>
              <w:t xml:space="preserve"> Humboldt actualizó en 2019 los insumos técnicos y cartográficos para el proceso de delimitación, mediante la revisión de la Franja de Transición Bosque-Páramo (FTBP) y la generación del área de referencia a escala 1:25.000, incorporando nueva información técnica, ambiental y territorial disponible para el complejo paramuno. Para ello se analizaron 209 capas de información geográfica provenientes de entidades públicas, autoridades ambientales, municipios, organizaciones sociales y centros de investigación. </w:t>
            </w:r>
          </w:p>
          <w:p w14:paraId="3C208AB9" w14:textId="560CAA66" w:rsidR="00AB07E6" w:rsidRPr="00D000D8" w:rsidRDefault="77275367" w:rsidP="4095ADAA">
            <w:pPr>
              <w:spacing w:before="210" w:after="210" w:line="300" w:lineRule="auto"/>
              <w:jc w:val="both"/>
              <w:rPr>
                <w:rFonts w:ascii="Verdana" w:eastAsia="Verdana" w:hAnsi="Verdana" w:cs="Verdana"/>
                <w:sz w:val="21"/>
                <w:szCs w:val="21"/>
                <w:lang w:val="es-CO"/>
              </w:rPr>
            </w:pPr>
            <w:r w:rsidRPr="00D000D8">
              <w:rPr>
                <w:rFonts w:ascii="Verdana" w:eastAsia="Verdana" w:hAnsi="Verdana" w:cs="Verdana"/>
                <w:sz w:val="21"/>
                <w:szCs w:val="21"/>
                <w:lang w:val="es-CO"/>
              </w:rPr>
              <w:t>La propuesta normativa también se fundamenta en el “Documento Propuesta Integrada para la Fase de Concertación en la Delimitación Participativa del Páramo Jurisdicciones–Santurbán–Berlín”, elaborado por el Ministerio de Ambiente y Desarrollo Sostenible en diciembre de 2019, el cual consolidó los resultados de las fases de información, consulta e iniciativa y desarrolló las propuestas técnicas para los seis temas ineludibles ordenados por la Sentencia T-361 de 2017: (i) delimitación; (</w:t>
            </w:r>
            <w:proofErr w:type="spellStart"/>
            <w:r w:rsidRPr="00D000D8">
              <w:rPr>
                <w:rFonts w:ascii="Verdana" w:eastAsia="Verdana" w:hAnsi="Verdana" w:cs="Verdana"/>
                <w:sz w:val="21"/>
                <w:szCs w:val="21"/>
                <w:lang w:val="es-CO"/>
              </w:rPr>
              <w:t>ii</w:t>
            </w:r>
            <w:proofErr w:type="spellEnd"/>
            <w:r w:rsidRPr="00D000D8">
              <w:rPr>
                <w:rFonts w:ascii="Verdana" w:eastAsia="Verdana" w:hAnsi="Verdana" w:cs="Verdana"/>
                <w:sz w:val="21"/>
                <w:szCs w:val="21"/>
                <w:lang w:val="es-CO"/>
              </w:rPr>
              <w:t>) lineamientos para la reconversión y sustitución de actividades incompatibles; (</w:t>
            </w:r>
            <w:proofErr w:type="spellStart"/>
            <w:r w:rsidRPr="00D000D8">
              <w:rPr>
                <w:rFonts w:ascii="Verdana" w:eastAsia="Verdana" w:hAnsi="Verdana" w:cs="Verdana"/>
                <w:sz w:val="21"/>
                <w:szCs w:val="21"/>
                <w:lang w:val="es-CO"/>
              </w:rPr>
              <w:t>iii</w:t>
            </w:r>
            <w:proofErr w:type="spellEnd"/>
            <w:r w:rsidRPr="00D000D8">
              <w:rPr>
                <w:rFonts w:ascii="Verdana" w:eastAsia="Verdana" w:hAnsi="Verdana" w:cs="Verdana"/>
                <w:sz w:val="21"/>
                <w:szCs w:val="21"/>
                <w:lang w:val="es-CO"/>
              </w:rPr>
              <w:t>) sistema de fiscalización; (</w:t>
            </w:r>
            <w:proofErr w:type="spellStart"/>
            <w:r w:rsidRPr="00D000D8">
              <w:rPr>
                <w:rFonts w:ascii="Verdana" w:eastAsia="Verdana" w:hAnsi="Verdana" w:cs="Verdana"/>
                <w:sz w:val="21"/>
                <w:szCs w:val="21"/>
                <w:lang w:val="es-CO"/>
              </w:rPr>
              <w:t>iv</w:t>
            </w:r>
            <w:proofErr w:type="spellEnd"/>
            <w:r w:rsidRPr="00D000D8">
              <w:rPr>
                <w:rFonts w:ascii="Verdana" w:eastAsia="Verdana" w:hAnsi="Verdana" w:cs="Verdana"/>
                <w:sz w:val="21"/>
                <w:szCs w:val="21"/>
                <w:lang w:val="es-CO"/>
              </w:rPr>
              <w:t>) parámetros de protección de fuentes hídricas; (v) instancia de coordinación para la gestión integral del páramo; y (vi) modelo de financiación para la sostenibilidad de la gestión ambiental del ecosistema.</w:t>
            </w:r>
          </w:p>
          <w:p w14:paraId="37129134" w14:textId="34B36BC4" w:rsidR="00AB07E6" w:rsidRPr="00D000D8" w:rsidRDefault="77275367" w:rsidP="4095ADAA">
            <w:pPr>
              <w:spacing w:before="210" w:after="210" w:line="300" w:lineRule="auto"/>
              <w:jc w:val="both"/>
              <w:rPr>
                <w:rFonts w:ascii="Verdana" w:eastAsia="Verdana" w:hAnsi="Verdana" w:cs="Verdana"/>
                <w:sz w:val="21"/>
                <w:szCs w:val="21"/>
                <w:lang w:val="es-CO"/>
              </w:rPr>
            </w:pPr>
            <w:r w:rsidRPr="00D000D8">
              <w:rPr>
                <w:rFonts w:ascii="Verdana" w:eastAsia="Verdana" w:hAnsi="Verdana" w:cs="Verdana"/>
                <w:sz w:val="21"/>
                <w:szCs w:val="21"/>
                <w:lang w:val="es-CO"/>
              </w:rPr>
              <w:t>Igualmente, sirven de fundamento los Estudios Técnicos, Económicos, Sociales y Ambientales (ETESA) elaborados por la Corporación Autónoma Regional para la Defensa de la Meseta de Bucaramanga –CDMB– y la Corporación Autónoma Regional de la Frontera Nororiental –CORPONOR–, así como las actas, informes técnicos, matrices de análisis, memorias de participación y documentos de concertación desarrollados durante el proceso participativo adelantado entre los años 2018 y 2026.</w:t>
            </w:r>
          </w:p>
          <w:p w14:paraId="463C1508" w14:textId="697F5D06" w:rsidR="00AB07E6" w:rsidRPr="00D000D8" w:rsidRDefault="77275367" w:rsidP="4095ADAA">
            <w:pPr>
              <w:spacing w:before="210" w:after="210" w:line="300" w:lineRule="auto"/>
              <w:jc w:val="both"/>
              <w:rPr>
                <w:rFonts w:ascii="Verdana" w:eastAsia="Verdana" w:hAnsi="Verdana" w:cs="Verdana"/>
                <w:sz w:val="21"/>
                <w:szCs w:val="21"/>
                <w:lang w:val="es-CO"/>
              </w:rPr>
            </w:pPr>
            <w:r w:rsidRPr="00D000D8">
              <w:rPr>
                <w:rFonts w:ascii="Verdana" w:eastAsia="Verdana" w:hAnsi="Verdana" w:cs="Verdana"/>
                <w:sz w:val="21"/>
                <w:szCs w:val="21"/>
                <w:lang w:val="es-CO"/>
              </w:rPr>
              <w:t xml:space="preserve">Finalmente, el proyecto normativo se apoya en la información técnica recopilada y sistematizada durante el proceso de delimitación participativa, la cual incluye estudios de biodiversidad, hidrología, servicios ecosistémicos, uso del suelo, actividades productivas, áreas protegidas, conectividad ecológica y caracterización socioeconómica de los municipios vinculados al Complejo de Páramos Jurisdicciones–Santurbán–Berlín, constituyendo la mejor información científica disponible para la adopción de la medida. </w:t>
            </w:r>
          </w:p>
          <w:p w14:paraId="331AAEA5" w14:textId="1719684A" w:rsidR="00AB07E6" w:rsidRPr="00D000D8" w:rsidRDefault="6777E106" w:rsidP="4095ADAA">
            <w:pPr>
              <w:jc w:val="both"/>
              <w:rPr>
                <w:rFonts w:ascii="Verdana" w:eastAsia="Verdana" w:hAnsi="Verdana" w:cs="Verdana"/>
                <w:sz w:val="21"/>
                <w:szCs w:val="21"/>
                <w:lang w:val="es-CO"/>
              </w:rPr>
            </w:pPr>
            <w:r w:rsidRPr="00D000D8">
              <w:rPr>
                <w:rFonts w:ascii="Verdana" w:eastAsia="Verdana" w:hAnsi="Verdana" w:cs="Verdana"/>
                <w:sz w:val="21"/>
                <w:szCs w:val="21"/>
                <w:lang w:val="es-CO"/>
              </w:rPr>
              <w:lastRenderedPageBreak/>
              <w:t>De igual manera, todo el expediente documental, normativo, judicial y jurisprudencial del proceso de delimitación participativa</w:t>
            </w:r>
            <w:r w:rsidR="199625E2" w:rsidRPr="00D000D8">
              <w:rPr>
                <w:rFonts w:ascii="Verdana" w:eastAsia="Verdana" w:hAnsi="Verdana" w:cs="Verdana"/>
                <w:sz w:val="21"/>
                <w:szCs w:val="21"/>
                <w:lang w:val="es-CO"/>
              </w:rPr>
              <w:t xml:space="preserve">, </w:t>
            </w:r>
            <w:r w:rsidRPr="00D000D8">
              <w:rPr>
                <w:rFonts w:ascii="Verdana" w:eastAsia="Verdana" w:hAnsi="Verdana" w:cs="Verdana"/>
                <w:sz w:val="21"/>
                <w:szCs w:val="21"/>
                <w:lang w:val="es-CO"/>
              </w:rPr>
              <w:t>puede ser consultado en el siguiente enlace</w:t>
            </w:r>
            <w:r w:rsidRPr="00EA3808">
              <w:rPr>
                <w:rFonts w:ascii="Verdana" w:hAnsi="Verdana" w:cs="Arial"/>
                <w:sz w:val="22"/>
                <w:szCs w:val="22"/>
              </w:rPr>
              <w:t xml:space="preserve"> </w:t>
            </w:r>
            <w:r w:rsidR="7143B062" w:rsidRPr="00EA3808">
              <w:rPr>
                <w:rFonts w:ascii="Verdana" w:hAnsi="Verdana" w:cs="Arial"/>
                <w:sz w:val="22"/>
                <w:szCs w:val="22"/>
              </w:rPr>
              <w:t xml:space="preserve"> </w:t>
            </w:r>
            <w:hyperlink r:id="rId14">
              <w:r w:rsidR="7143B062" w:rsidRPr="00EA3808">
                <w:rPr>
                  <w:rStyle w:val="Hipervnculo"/>
                  <w:rFonts w:ascii="Verdana" w:hAnsi="Verdana" w:cs="Arial"/>
                  <w:sz w:val="22"/>
                  <w:szCs w:val="22"/>
                </w:rPr>
                <w:t>https://santurban.minambiente.gov.co/</w:t>
              </w:r>
            </w:hyperlink>
            <w:r w:rsidR="4967988E" w:rsidRPr="00EA3808">
              <w:rPr>
                <w:rFonts w:ascii="Verdana" w:hAnsi="Verdana" w:cs="Arial"/>
                <w:sz w:val="22"/>
                <w:szCs w:val="22"/>
              </w:rPr>
              <w:t xml:space="preserve"> </w:t>
            </w:r>
            <w:r w:rsidR="7143B062" w:rsidRPr="00EA3808">
              <w:rPr>
                <w:rFonts w:ascii="Verdana" w:hAnsi="Verdana" w:cs="Arial"/>
                <w:sz w:val="22"/>
                <w:szCs w:val="22"/>
              </w:rPr>
              <w:t xml:space="preserve"> </w:t>
            </w:r>
            <w:r w:rsidRPr="00D000D8">
              <w:rPr>
                <w:rFonts w:ascii="Verdana" w:eastAsia="Verdana" w:hAnsi="Verdana" w:cs="Verdana"/>
                <w:sz w:val="21"/>
                <w:szCs w:val="21"/>
                <w:lang w:val="es-CO"/>
              </w:rPr>
              <w:t xml:space="preserve">que ha sido dispuesto para </w:t>
            </w:r>
            <w:r w:rsidR="199625E2" w:rsidRPr="00D000D8">
              <w:rPr>
                <w:rFonts w:ascii="Verdana" w:eastAsia="Verdana" w:hAnsi="Verdana" w:cs="Verdana"/>
                <w:sz w:val="21"/>
                <w:szCs w:val="21"/>
                <w:lang w:val="es-CO"/>
              </w:rPr>
              <w:t>el acceso abierto de toda la ciudadanía con la finalidad de garantizar la transparencia de todo el proceso.</w:t>
            </w:r>
          </w:p>
          <w:p w14:paraId="13017DB4" w14:textId="77777777" w:rsidR="00357C6F" w:rsidRPr="00D000D8" w:rsidRDefault="00357C6F" w:rsidP="001A1E25">
            <w:pPr>
              <w:jc w:val="both"/>
              <w:rPr>
                <w:rFonts w:ascii="Verdana" w:eastAsia="Verdana" w:hAnsi="Verdana" w:cs="Verdana"/>
                <w:sz w:val="21"/>
                <w:szCs w:val="21"/>
                <w:lang w:val="es-CO"/>
              </w:rPr>
            </w:pPr>
          </w:p>
          <w:p w14:paraId="328A9C08" w14:textId="77777777" w:rsidR="00357C6F" w:rsidRPr="00D000D8" w:rsidRDefault="00357C6F" w:rsidP="001A1E25">
            <w:pPr>
              <w:jc w:val="both"/>
              <w:rPr>
                <w:rFonts w:ascii="Verdana" w:eastAsia="Verdana" w:hAnsi="Verdana" w:cs="Verdana"/>
                <w:sz w:val="21"/>
                <w:szCs w:val="21"/>
                <w:lang w:val="es-CO"/>
              </w:rPr>
            </w:pPr>
            <w:r w:rsidRPr="00D000D8">
              <w:rPr>
                <w:rFonts w:ascii="Verdana" w:eastAsia="Verdana" w:hAnsi="Verdana" w:cs="Verdana"/>
                <w:sz w:val="21"/>
                <w:szCs w:val="21"/>
                <w:lang w:val="es-CO"/>
              </w:rPr>
              <w:t>Como bibliografía sobre el tema, se relaciona el siguiente soporte normativo:</w:t>
            </w:r>
          </w:p>
          <w:p w14:paraId="6CEF8A59" w14:textId="77777777" w:rsidR="00357C6F" w:rsidRPr="00D000D8" w:rsidRDefault="00357C6F" w:rsidP="001A1E25">
            <w:pPr>
              <w:jc w:val="both"/>
              <w:rPr>
                <w:rFonts w:ascii="Verdana" w:eastAsia="Verdana" w:hAnsi="Verdana" w:cs="Verdana"/>
                <w:sz w:val="21"/>
                <w:szCs w:val="21"/>
                <w:lang w:val="es-CO"/>
              </w:rPr>
            </w:pPr>
          </w:p>
          <w:p w14:paraId="7ECDE30D" w14:textId="77777777" w:rsidR="00357C6F" w:rsidRPr="00D000D8" w:rsidRDefault="00357C6F" w:rsidP="005B25BE">
            <w:pPr>
              <w:numPr>
                <w:ilvl w:val="0"/>
                <w:numId w:val="4"/>
              </w:numPr>
              <w:jc w:val="both"/>
              <w:rPr>
                <w:rFonts w:ascii="Verdana" w:eastAsia="Verdana" w:hAnsi="Verdana" w:cs="Verdana"/>
                <w:sz w:val="21"/>
                <w:szCs w:val="21"/>
                <w:lang w:val="es-CO"/>
              </w:rPr>
            </w:pPr>
            <w:r w:rsidRPr="00D000D8">
              <w:rPr>
                <w:rFonts w:ascii="Verdana" w:eastAsia="Verdana" w:hAnsi="Verdana" w:cs="Verdana"/>
                <w:sz w:val="21"/>
                <w:szCs w:val="21"/>
                <w:lang w:val="es-CO"/>
              </w:rPr>
              <w:t>Constitución Política de Colombia de 1991. </w:t>
            </w:r>
          </w:p>
          <w:p w14:paraId="3B8C57A5" w14:textId="77777777" w:rsidR="00357C6F" w:rsidRPr="00D000D8" w:rsidRDefault="00357C6F" w:rsidP="005B25BE">
            <w:pPr>
              <w:numPr>
                <w:ilvl w:val="0"/>
                <w:numId w:val="5"/>
              </w:numPr>
              <w:jc w:val="both"/>
              <w:rPr>
                <w:rFonts w:ascii="Verdana" w:eastAsia="Verdana" w:hAnsi="Verdana" w:cs="Verdana"/>
                <w:sz w:val="21"/>
                <w:szCs w:val="21"/>
                <w:lang w:val="es-CO"/>
              </w:rPr>
            </w:pPr>
            <w:r w:rsidRPr="00D000D8">
              <w:rPr>
                <w:rFonts w:ascii="Verdana" w:eastAsia="Verdana" w:hAnsi="Verdana" w:cs="Verdana"/>
                <w:sz w:val="21"/>
                <w:szCs w:val="21"/>
                <w:lang w:val="es-CO"/>
              </w:rPr>
              <w:t>Ley 99 de 1993. </w:t>
            </w:r>
          </w:p>
          <w:p w14:paraId="120B1A67" w14:textId="77777777" w:rsidR="00357C6F" w:rsidRPr="00D000D8" w:rsidRDefault="00357C6F" w:rsidP="005B25BE">
            <w:pPr>
              <w:numPr>
                <w:ilvl w:val="0"/>
                <w:numId w:val="6"/>
              </w:numPr>
              <w:jc w:val="both"/>
              <w:rPr>
                <w:rFonts w:ascii="Verdana" w:eastAsia="Verdana" w:hAnsi="Verdana" w:cs="Verdana"/>
                <w:sz w:val="21"/>
                <w:szCs w:val="21"/>
                <w:lang w:val="es-CO"/>
              </w:rPr>
            </w:pPr>
            <w:r w:rsidRPr="00D000D8">
              <w:rPr>
                <w:rFonts w:ascii="Verdana" w:eastAsia="Verdana" w:hAnsi="Verdana" w:cs="Verdana"/>
                <w:sz w:val="21"/>
                <w:szCs w:val="21"/>
                <w:lang w:val="es-CO"/>
              </w:rPr>
              <w:t>Ley 1450 de 2011. </w:t>
            </w:r>
          </w:p>
          <w:p w14:paraId="4F00A381" w14:textId="77777777" w:rsidR="00357C6F" w:rsidRPr="00D000D8" w:rsidRDefault="00357C6F" w:rsidP="005B25BE">
            <w:pPr>
              <w:numPr>
                <w:ilvl w:val="0"/>
                <w:numId w:val="7"/>
              </w:numPr>
              <w:jc w:val="both"/>
              <w:rPr>
                <w:rFonts w:ascii="Verdana" w:eastAsia="Verdana" w:hAnsi="Verdana" w:cs="Verdana"/>
                <w:sz w:val="21"/>
                <w:szCs w:val="21"/>
                <w:lang w:val="es-CO"/>
              </w:rPr>
            </w:pPr>
            <w:r w:rsidRPr="00D000D8">
              <w:rPr>
                <w:rFonts w:ascii="Verdana" w:eastAsia="Verdana" w:hAnsi="Verdana" w:cs="Verdana"/>
                <w:sz w:val="21"/>
                <w:szCs w:val="21"/>
                <w:lang w:val="es-CO"/>
              </w:rPr>
              <w:t>Decreto Ley 3570 de 2011. </w:t>
            </w:r>
          </w:p>
          <w:p w14:paraId="668D6DA5" w14:textId="77777777" w:rsidR="00357C6F" w:rsidRPr="00D000D8" w:rsidRDefault="00357C6F" w:rsidP="005B25BE">
            <w:pPr>
              <w:numPr>
                <w:ilvl w:val="0"/>
                <w:numId w:val="8"/>
              </w:numPr>
              <w:jc w:val="both"/>
              <w:rPr>
                <w:rFonts w:ascii="Verdana" w:eastAsia="Verdana" w:hAnsi="Verdana" w:cs="Verdana"/>
                <w:sz w:val="21"/>
                <w:szCs w:val="21"/>
                <w:lang w:val="es-CO"/>
              </w:rPr>
            </w:pPr>
            <w:r w:rsidRPr="00D000D8">
              <w:rPr>
                <w:rFonts w:ascii="Verdana" w:eastAsia="Verdana" w:hAnsi="Verdana" w:cs="Verdana"/>
                <w:sz w:val="21"/>
                <w:szCs w:val="21"/>
                <w:lang w:val="es-CO"/>
              </w:rPr>
              <w:t>Ley 1753 de 2015. </w:t>
            </w:r>
          </w:p>
          <w:p w14:paraId="224D771C" w14:textId="7CF59683" w:rsidR="00357C6F" w:rsidRPr="00D000D8" w:rsidRDefault="00357C6F" w:rsidP="005B25BE">
            <w:pPr>
              <w:numPr>
                <w:ilvl w:val="0"/>
                <w:numId w:val="8"/>
              </w:numPr>
              <w:jc w:val="both"/>
              <w:rPr>
                <w:rFonts w:ascii="Verdana" w:eastAsia="Verdana" w:hAnsi="Verdana" w:cs="Verdana"/>
                <w:sz w:val="21"/>
                <w:szCs w:val="21"/>
                <w:lang w:val="es-CO"/>
              </w:rPr>
            </w:pPr>
            <w:r w:rsidRPr="00D000D8">
              <w:rPr>
                <w:rFonts w:ascii="Verdana" w:eastAsia="Verdana" w:hAnsi="Verdana" w:cs="Verdana"/>
                <w:sz w:val="21"/>
                <w:szCs w:val="21"/>
                <w:lang w:val="es-CO"/>
              </w:rPr>
              <w:t>Corte Constitucional, Sentencia C-035 de 2016</w:t>
            </w:r>
          </w:p>
          <w:p w14:paraId="5AB42E5A" w14:textId="77777777" w:rsidR="00357C6F" w:rsidRPr="00D000D8" w:rsidRDefault="00357C6F" w:rsidP="005B25BE">
            <w:pPr>
              <w:numPr>
                <w:ilvl w:val="0"/>
                <w:numId w:val="9"/>
              </w:numPr>
              <w:jc w:val="both"/>
              <w:rPr>
                <w:rFonts w:ascii="Verdana" w:eastAsia="Verdana" w:hAnsi="Verdana" w:cs="Verdana"/>
                <w:sz w:val="21"/>
                <w:szCs w:val="21"/>
                <w:lang w:val="es-CO"/>
              </w:rPr>
            </w:pPr>
            <w:r w:rsidRPr="00D000D8">
              <w:rPr>
                <w:rFonts w:ascii="Verdana" w:eastAsia="Verdana" w:hAnsi="Verdana" w:cs="Verdana"/>
                <w:sz w:val="21"/>
                <w:szCs w:val="21"/>
                <w:lang w:val="es-CO"/>
              </w:rPr>
              <w:t>Ley 1930 de 2018. </w:t>
            </w:r>
          </w:p>
          <w:p w14:paraId="36B71936" w14:textId="12C9AAD9" w:rsidR="001A1E25" w:rsidRPr="00EA3808" w:rsidRDefault="199625E2" w:rsidP="4095ADAA">
            <w:pPr>
              <w:numPr>
                <w:ilvl w:val="0"/>
                <w:numId w:val="10"/>
              </w:numPr>
              <w:jc w:val="both"/>
              <w:rPr>
                <w:rFonts w:ascii="Verdana" w:hAnsi="Verdana" w:cs="Arial"/>
                <w:sz w:val="22"/>
                <w:szCs w:val="22"/>
                <w:lang w:val="es-CO"/>
              </w:rPr>
            </w:pPr>
            <w:r w:rsidRPr="00D000D8">
              <w:rPr>
                <w:rFonts w:ascii="Verdana" w:eastAsia="Verdana" w:hAnsi="Verdana" w:cs="Verdana"/>
                <w:sz w:val="21"/>
                <w:szCs w:val="21"/>
                <w:lang w:val="es-CO"/>
              </w:rPr>
              <w:t>Corte Constitucional, Sentencia T-361 de 2017.</w:t>
            </w:r>
            <w:r w:rsidRPr="00EA3808">
              <w:rPr>
                <w:rFonts w:ascii="Verdana" w:hAnsi="Verdana" w:cs="Arial"/>
                <w:sz w:val="22"/>
                <w:szCs w:val="22"/>
                <w:lang w:val="es-CO"/>
              </w:rPr>
              <w:t> </w:t>
            </w:r>
          </w:p>
        </w:tc>
      </w:tr>
      <w:tr w:rsidR="00DF60FD" w:rsidRPr="00EA3808" w14:paraId="348EAEBD" w14:textId="77777777" w:rsidTr="086CF79C">
        <w:trPr>
          <w:trHeight w:val="416"/>
        </w:trPr>
        <w:tc>
          <w:tcPr>
            <w:tcW w:w="10774" w:type="dxa"/>
            <w:gridSpan w:val="3"/>
            <w:tcBorders>
              <w:top w:val="single" w:sz="4" w:space="0" w:color="auto"/>
              <w:bottom w:val="single" w:sz="4" w:space="0" w:color="auto"/>
            </w:tcBorders>
            <w:shd w:val="clear" w:color="auto" w:fill="154A8A"/>
            <w:vAlign w:val="center"/>
          </w:tcPr>
          <w:p w14:paraId="573C04BD" w14:textId="77777777" w:rsidR="00F55DC4" w:rsidRPr="00EA3808" w:rsidRDefault="00DF60FD" w:rsidP="00696582">
            <w:pPr>
              <w:jc w:val="center"/>
              <w:rPr>
                <w:rFonts w:ascii="Verdana" w:hAnsi="Verdana" w:cs="Arial"/>
                <w:color w:val="FFFFFF"/>
                <w:sz w:val="22"/>
                <w:szCs w:val="22"/>
              </w:rPr>
            </w:pPr>
            <w:r w:rsidRPr="00EA3808">
              <w:rPr>
                <w:rFonts w:ascii="Verdana" w:hAnsi="Verdana" w:cs="Arial"/>
                <w:b/>
                <w:color w:val="FFFFFF"/>
                <w:sz w:val="22"/>
                <w:szCs w:val="22"/>
              </w:rPr>
              <w:lastRenderedPageBreak/>
              <w:t>ANEXOS</w:t>
            </w:r>
            <w:r w:rsidR="00D05B67" w:rsidRPr="00EA3808">
              <w:rPr>
                <w:rFonts w:ascii="Verdana" w:hAnsi="Verdana" w:cs="Arial"/>
                <w:b/>
                <w:color w:val="FFFFFF"/>
                <w:sz w:val="22"/>
                <w:szCs w:val="22"/>
              </w:rPr>
              <w:t>:</w:t>
            </w:r>
            <w:r w:rsidR="00696582" w:rsidRPr="00EA3808">
              <w:rPr>
                <w:rFonts w:ascii="Verdana" w:hAnsi="Verdana" w:cs="Arial"/>
                <w:color w:val="FFFFFF"/>
                <w:sz w:val="22"/>
                <w:szCs w:val="22"/>
              </w:rPr>
              <w:t xml:space="preserve"> </w:t>
            </w:r>
          </w:p>
        </w:tc>
      </w:tr>
      <w:tr w:rsidR="00D05B67" w:rsidRPr="00EA3808" w14:paraId="26B8AF75" w14:textId="77777777" w:rsidTr="086CF79C">
        <w:trPr>
          <w:trHeight w:val="66"/>
        </w:trPr>
        <w:tc>
          <w:tcPr>
            <w:tcW w:w="7655" w:type="dxa"/>
            <w:gridSpan w:val="2"/>
            <w:tcBorders>
              <w:top w:val="single" w:sz="4" w:space="0" w:color="auto"/>
              <w:bottom w:val="single" w:sz="4" w:space="0" w:color="auto"/>
              <w:right w:val="single" w:sz="4" w:space="0" w:color="auto"/>
            </w:tcBorders>
            <w:shd w:val="clear" w:color="auto" w:fill="FFFFFF" w:themeFill="background1"/>
            <w:vAlign w:val="center"/>
          </w:tcPr>
          <w:p w14:paraId="60D24799" w14:textId="77777777" w:rsidR="00D05B67" w:rsidRPr="00EA3808" w:rsidRDefault="00D05B67" w:rsidP="00D05B67">
            <w:pPr>
              <w:jc w:val="both"/>
              <w:rPr>
                <w:rFonts w:ascii="Verdana" w:hAnsi="Verdana" w:cs="Arial"/>
                <w:sz w:val="22"/>
                <w:szCs w:val="22"/>
              </w:rPr>
            </w:pPr>
            <w:r w:rsidRPr="00EA3808">
              <w:rPr>
                <w:rFonts w:ascii="Verdana" w:hAnsi="Verdana" w:cs="Arial"/>
                <w:sz w:val="22"/>
                <w:szCs w:val="22"/>
              </w:rPr>
              <w:t xml:space="preserve">Certificación de cumplimiento de requisitos de consulta, publicidad y de incorporación en la agenda regulatoria </w:t>
            </w:r>
          </w:p>
          <w:p w14:paraId="7E11A899" w14:textId="77777777" w:rsidR="00D05B67" w:rsidRPr="00EA3808" w:rsidRDefault="00D05B67" w:rsidP="00D05B67">
            <w:pPr>
              <w:jc w:val="both"/>
              <w:rPr>
                <w:rFonts w:ascii="Verdana" w:hAnsi="Verdana" w:cs="Arial"/>
                <w:i/>
                <w:color w:val="808080"/>
                <w:sz w:val="22"/>
                <w:szCs w:val="22"/>
              </w:rPr>
            </w:pPr>
            <w:r w:rsidRPr="00EA3808">
              <w:rPr>
                <w:rFonts w:ascii="Verdana" w:hAnsi="Verdana" w:cs="Arial"/>
                <w:i/>
                <w:color w:val="808080"/>
                <w:szCs w:val="22"/>
              </w:rPr>
              <w:t>(Firmada por el servidor público competente –entidad originadora)</w:t>
            </w:r>
          </w:p>
        </w:tc>
        <w:tc>
          <w:tcPr>
            <w:tcW w:w="3119" w:type="dxa"/>
            <w:tcBorders>
              <w:top w:val="single" w:sz="4" w:space="0" w:color="auto"/>
              <w:left w:val="single" w:sz="4" w:space="0" w:color="auto"/>
              <w:bottom w:val="single" w:sz="4" w:space="0" w:color="auto"/>
            </w:tcBorders>
            <w:shd w:val="clear" w:color="auto" w:fill="FFFFFF" w:themeFill="background1"/>
            <w:vAlign w:val="center"/>
          </w:tcPr>
          <w:p w14:paraId="067DE4A1" w14:textId="77777777" w:rsidR="00D05B67" w:rsidRPr="00EA3808" w:rsidRDefault="00D05B67" w:rsidP="00D05B67">
            <w:pPr>
              <w:jc w:val="both"/>
              <w:rPr>
                <w:rFonts w:ascii="Verdana" w:hAnsi="Verdana" w:cs="Arial"/>
                <w:i/>
                <w:color w:val="808080"/>
                <w:sz w:val="22"/>
                <w:szCs w:val="22"/>
              </w:rPr>
            </w:pPr>
            <w:r w:rsidRPr="00EA3808">
              <w:rPr>
                <w:rFonts w:ascii="Verdana" w:hAnsi="Verdana" w:cs="Arial"/>
                <w:i/>
                <w:color w:val="808080"/>
                <w:sz w:val="22"/>
                <w:szCs w:val="22"/>
              </w:rPr>
              <w:t>(Marque con una x)</w:t>
            </w:r>
          </w:p>
        </w:tc>
      </w:tr>
      <w:tr w:rsidR="00D05B67" w:rsidRPr="00EA3808" w14:paraId="41DDF140" w14:textId="77777777" w:rsidTr="086CF79C">
        <w:trPr>
          <w:trHeight w:val="66"/>
        </w:trPr>
        <w:tc>
          <w:tcPr>
            <w:tcW w:w="7655" w:type="dxa"/>
            <w:gridSpan w:val="2"/>
            <w:tcBorders>
              <w:top w:val="single" w:sz="4" w:space="0" w:color="auto"/>
              <w:bottom w:val="single" w:sz="4" w:space="0" w:color="auto"/>
              <w:right w:val="single" w:sz="4" w:space="0" w:color="auto"/>
            </w:tcBorders>
            <w:shd w:val="clear" w:color="auto" w:fill="FFFFFF" w:themeFill="background1"/>
            <w:vAlign w:val="center"/>
          </w:tcPr>
          <w:p w14:paraId="162FF379" w14:textId="77777777" w:rsidR="00D05B67" w:rsidRPr="00EA3808" w:rsidRDefault="00D05B67" w:rsidP="00D05B67">
            <w:pPr>
              <w:jc w:val="both"/>
              <w:rPr>
                <w:rFonts w:ascii="Verdana" w:hAnsi="Verdana" w:cs="Arial"/>
                <w:sz w:val="22"/>
                <w:szCs w:val="22"/>
              </w:rPr>
            </w:pPr>
            <w:r w:rsidRPr="00EA3808">
              <w:rPr>
                <w:rFonts w:ascii="Verdana" w:hAnsi="Verdana" w:cs="Arial"/>
                <w:sz w:val="22"/>
                <w:szCs w:val="22"/>
              </w:rPr>
              <w:t>Concepto</w:t>
            </w:r>
            <w:r w:rsidR="005F30C3" w:rsidRPr="00EA3808">
              <w:rPr>
                <w:rFonts w:ascii="Verdana" w:hAnsi="Verdana" w:cs="Arial"/>
                <w:sz w:val="22"/>
                <w:szCs w:val="22"/>
              </w:rPr>
              <w:t>(s)</w:t>
            </w:r>
            <w:r w:rsidRPr="00EA3808">
              <w:rPr>
                <w:rFonts w:ascii="Verdana" w:hAnsi="Verdana" w:cs="Arial"/>
                <w:sz w:val="22"/>
                <w:szCs w:val="22"/>
              </w:rPr>
              <w:t xml:space="preserve"> de Min</w:t>
            </w:r>
            <w:r w:rsidR="005F30C3" w:rsidRPr="00EA3808">
              <w:rPr>
                <w:rFonts w:ascii="Verdana" w:hAnsi="Verdana" w:cs="Arial"/>
                <w:sz w:val="22"/>
                <w:szCs w:val="22"/>
              </w:rPr>
              <w:t>isterio de</w:t>
            </w:r>
            <w:r w:rsidRPr="00EA3808">
              <w:rPr>
                <w:rFonts w:ascii="Verdana" w:hAnsi="Verdana" w:cs="Arial"/>
                <w:sz w:val="22"/>
                <w:szCs w:val="22"/>
              </w:rPr>
              <w:t xml:space="preserve"> Comercio</w:t>
            </w:r>
            <w:r w:rsidR="005F30C3" w:rsidRPr="00EA3808">
              <w:rPr>
                <w:rFonts w:ascii="Verdana" w:hAnsi="Verdana" w:cs="Arial"/>
                <w:sz w:val="22"/>
                <w:szCs w:val="22"/>
              </w:rPr>
              <w:t>, Industria y Turismo</w:t>
            </w:r>
          </w:p>
          <w:p w14:paraId="489C25E0" w14:textId="77777777" w:rsidR="00D05B67" w:rsidRPr="00EA3808" w:rsidRDefault="005F30C3" w:rsidP="00D05B67">
            <w:pPr>
              <w:jc w:val="both"/>
              <w:rPr>
                <w:rFonts w:ascii="Verdana" w:hAnsi="Verdana" w:cs="Arial"/>
                <w:i/>
                <w:color w:val="808080"/>
                <w:sz w:val="22"/>
                <w:szCs w:val="22"/>
              </w:rPr>
            </w:pPr>
            <w:r w:rsidRPr="00EA3808">
              <w:rPr>
                <w:rFonts w:ascii="Verdana" w:hAnsi="Verdana" w:cs="Arial"/>
                <w:i/>
                <w:color w:val="808080"/>
                <w:szCs w:val="22"/>
              </w:rPr>
              <w:t>(Cuando se trate de un proyecto de reglamento técnico o de procedimientos de evaluación de conformidad)</w:t>
            </w:r>
          </w:p>
        </w:tc>
        <w:tc>
          <w:tcPr>
            <w:tcW w:w="3119" w:type="dxa"/>
            <w:tcBorders>
              <w:top w:val="single" w:sz="4" w:space="0" w:color="auto"/>
              <w:left w:val="single" w:sz="4" w:space="0" w:color="auto"/>
              <w:bottom w:val="single" w:sz="4" w:space="0" w:color="auto"/>
            </w:tcBorders>
            <w:shd w:val="clear" w:color="auto" w:fill="FFFFFF" w:themeFill="background1"/>
            <w:vAlign w:val="center"/>
          </w:tcPr>
          <w:p w14:paraId="2965CFB4" w14:textId="77777777" w:rsidR="00D05B67" w:rsidRPr="00EA3808" w:rsidRDefault="005F30C3" w:rsidP="00D05B67">
            <w:pPr>
              <w:jc w:val="both"/>
              <w:rPr>
                <w:rFonts w:ascii="Verdana" w:hAnsi="Verdana" w:cs="Arial"/>
                <w:sz w:val="22"/>
                <w:szCs w:val="22"/>
              </w:rPr>
            </w:pPr>
            <w:r w:rsidRPr="00EA3808">
              <w:rPr>
                <w:rFonts w:ascii="Verdana" w:hAnsi="Verdana" w:cs="Arial"/>
                <w:i/>
                <w:color w:val="808080"/>
                <w:sz w:val="22"/>
                <w:szCs w:val="22"/>
              </w:rPr>
              <w:t>(Marque con una x)</w:t>
            </w:r>
          </w:p>
        </w:tc>
      </w:tr>
      <w:tr w:rsidR="005F30C3" w:rsidRPr="00EA3808" w14:paraId="6810726A" w14:textId="77777777" w:rsidTr="086CF79C">
        <w:trPr>
          <w:trHeight w:val="66"/>
        </w:trPr>
        <w:tc>
          <w:tcPr>
            <w:tcW w:w="7655" w:type="dxa"/>
            <w:gridSpan w:val="2"/>
            <w:tcBorders>
              <w:top w:val="single" w:sz="4" w:space="0" w:color="auto"/>
              <w:bottom w:val="single" w:sz="4" w:space="0" w:color="auto"/>
              <w:right w:val="single" w:sz="4" w:space="0" w:color="auto"/>
            </w:tcBorders>
            <w:shd w:val="clear" w:color="auto" w:fill="FFFFFF" w:themeFill="background1"/>
            <w:vAlign w:val="center"/>
          </w:tcPr>
          <w:p w14:paraId="7A7CFB50" w14:textId="77777777" w:rsidR="005F30C3" w:rsidRPr="00EA3808" w:rsidRDefault="005F30C3" w:rsidP="00D05B67">
            <w:pPr>
              <w:jc w:val="both"/>
              <w:rPr>
                <w:rFonts w:ascii="Verdana" w:hAnsi="Verdana" w:cs="Arial"/>
                <w:sz w:val="22"/>
                <w:szCs w:val="22"/>
              </w:rPr>
            </w:pPr>
            <w:r w:rsidRPr="00EA3808">
              <w:rPr>
                <w:rFonts w:ascii="Verdana" w:hAnsi="Verdana" w:cs="Arial"/>
                <w:sz w:val="22"/>
                <w:szCs w:val="22"/>
              </w:rPr>
              <w:t xml:space="preserve">Informe de observaciones y respuestas </w:t>
            </w:r>
          </w:p>
          <w:p w14:paraId="27C22ED0" w14:textId="77777777" w:rsidR="005F30C3" w:rsidRPr="00EA3808" w:rsidRDefault="005F30C3" w:rsidP="00D05B67">
            <w:pPr>
              <w:jc w:val="both"/>
              <w:rPr>
                <w:rFonts w:ascii="Verdana" w:hAnsi="Verdana" w:cs="Arial"/>
                <w:i/>
                <w:color w:val="808080"/>
                <w:sz w:val="22"/>
                <w:szCs w:val="22"/>
              </w:rPr>
            </w:pPr>
            <w:r w:rsidRPr="00EA3808">
              <w:rPr>
                <w:rFonts w:ascii="Verdana" w:hAnsi="Verdana" w:cs="Arial"/>
                <w:i/>
                <w:color w:val="808080"/>
                <w:szCs w:val="22"/>
              </w:rPr>
              <w:t>(Análisis del informe con la evaluación de las observaciones de los ciudadanos y grupos de interés sobre el proyecto normativo)</w:t>
            </w:r>
          </w:p>
        </w:tc>
        <w:tc>
          <w:tcPr>
            <w:tcW w:w="3119" w:type="dxa"/>
            <w:tcBorders>
              <w:top w:val="single" w:sz="4" w:space="0" w:color="auto"/>
              <w:left w:val="single" w:sz="4" w:space="0" w:color="auto"/>
              <w:bottom w:val="single" w:sz="4" w:space="0" w:color="auto"/>
            </w:tcBorders>
            <w:shd w:val="clear" w:color="auto" w:fill="FFFFFF" w:themeFill="background1"/>
            <w:vAlign w:val="center"/>
          </w:tcPr>
          <w:p w14:paraId="5F8ABA0D" w14:textId="77777777" w:rsidR="005F30C3" w:rsidRPr="00EA3808" w:rsidRDefault="005F30C3" w:rsidP="00D05B67">
            <w:pPr>
              <w:jc w:val="both"/>
              <w:rPr>
                <w:rFonts w:ascii="Verdana" w:hAnsi="Verdana" w:cs="Arial"/>
                <w:sz w:val="22"/>
                <w:szCs w:val="22"/>
              </w:rPr>
            </w:pPr>
            <w:r w:rsidRPr="00EA3808">
              <w:rPr>
                <w:rFonts w:ascii="Verdana" w:hAnsi="Verdana" w:cs="Arial"/>
                <w:i/>
                <w:color w:val="808080"/>
                <w:sz w:val="22"/>
                <w:szCs w:val="22"/>
              </w:rPr>
              <w:t>(Marque con una x)</w:t>
            </w:r>
          </w:p>
        </w:tc>
      </w:tr>
      <w:tr w:rsidR="005F30C3" w:rsidRPr="00EA3808" w14:paraId="223C630C" w14:textId="77777777" w:rsidTr="086CF79C">
        <w:trPr>
          <w:trHeight w:val="66"/>
        </w:trPr>
        <w:tc>
          <w:tcPr>
            <w:tcW w:w="7655" w:type="dxa"/>
            <w:gridSpan w:val="2"/>
            <w:tcBorders>
              <w:top w:val="single" w:sz="4" w:space="0" w:color="auto"/>
              <w:bottom w:val="single" w:sz="4" w:space="0" w:color="auto"/>
              <w:right w:val="single" w:sz="4" w:space="0" w:color="auto"/>
            </w:tcBorders>
            <w:shd w:val="clear" w:color="auto" w:fill="FFFFFF" w:themeFill="background1"/>
            <w:vAlign w:val="center"/>
          </w:tcPr>
          <w:p w14:paraId="5A0249B6" w14:textId="77777777" w:rsidR="005F30C3" w:rsidRPr="00EA3808" w:rsidRDefault="005F30C3" w:rsidP="00D05B67">
            <w:pPr>
              <w:jc w:val="both"/>
              <w:rPr>
                <w:rFonts w:ascii="Verdana" w:hAnsi="Verdana" w:cs="Arial"/>
                <w:sz w:val="22"/>
                <w:szCs w:val="22"/>
              </w:rPr>
            </w:pPr>
            <w:r w:rsidRPr="00EA3808">
              <w:rPr>
                <w:rFonts w:ascii="Verdana" w:hAnsi="Verdana" w:cs="Arial"/>
                <w:sz w:val="22"/>
                <w:szCs w:val="22"/>
              </w:rPr>
              <w:t>Concepto de Abogacía de la Competencia de la Superintendencia de Industria y Comercio</w:t>
            </w:r>
          </w:p>
          <w:p w14:paraId="24D2B8F7" w14:textId="77777777" w:rsidR="005F30C3" w:rsidRPr="00EA3808" w:rsidRDefault="005F30C3" w:rsidP="00D05B67">
            <w:pPr>
              <w:jc w:val="both"/>
              <w:rPr>
                <w:rFonts w:ascii="Verdana" w:hAnsi="Verdana" w:cs="Arial"/>
                <w:i/>
                <w:color w:val="808080"/>
                <w:sz w:val="22"/>
                <w:szCs w:val="22"/>
              </w:rPr>
            </w:pPr>
            <w:r w:rsidRPr="00EA3808">
              <w:rPr>
                <w:rFonts w:ascii="Verdana" w:hAnsi="Verdana" w:cs="Arial"/>
                <w:i/>
                <w:color w:val="808080"/>
                <w:szCs w:val="22"/>
              </w:rPr>
              <w:t>(Cuando los proyectos normativos tengan incidencia en la libre competencia de los mercados)</w:t>
            </w:r>
          </w:p>
        </w:tc>
        <w:tc>
          <w:tcPr>
            <w:tcW w:w="3119" w:type="dxa"/>
            <w:tcBorders>
              <w:top w:val="single" w:sz="4" w:space="0" w:color="auto"/>
              <w:left w:val="single" w:sz="4" w:space="0" w:color="auto"/>
              <w:bottom w:val="single" w:sz="4" w:space="0" w:color="auto"/>
            </w:tcBorders>
            <w:shd w:val="clear" w:color="auto" w:fill="FFFFFF" w:themeFill="background1"/>
            <w:vAlign w:val="center"/>
          </w:tcPr>
          <w:p w14:paraId="430E9A25" w14:textId="77777777" w:rsidR="005F30C3" w:rsidRPr="00EA3808" w:rsidRDefault="005F30C3" w:rsidP="00D05B67">
            <w:pPr>
              <w:jc w:val="both"/>
              <w:rPr>
                <w:rFonts w:ascii="Verdana" w:hAnsi="Verdana" w:cs="Arial"/>
                <w:sz w:val="22"/>
                <w:szCs w:val="22"/>
              </w:rPr>
            </w:pPr>
            <w:r w:rsidRPr="00EA3808">
              <w:rPr>
                <w:rFonts w:ascii="Verdana" w:hAnsi="Verdana" w:cs="Arial"/>
                <w:i/>
                <w:color w:val="808080"/>
                <w:sz w:val="22"/>
                <w:szCs w:val="22"/>
              </w:rPr>
              <w:t>(Marque con una x)</w:t>
            </w:r>
          </w:p>
        </w:tc>
      </w:tr>
      <w:tr w:rsidR="005F30C3" w:rsidRPr="00EA3808" w14:paraId="3859B46A" w14:textId="77777777" w:rsidTr="086CF79C">
        <w:trPr>
          <w:trHeight w:val="66"/>
        </w:trPr>
        <w:tc>
          <w:tcPr>
            <w:tcW w:w="7655" w:type="dxa"/>
            <w:gridSpan w:val="2"/>
            <w:tcBorders>
              <w:top w:val="single" w:sz="4" w:space="0" w:color="auto"/>
              <w:bottom w:val="single" w:sz="4" w:space="0" w:color="auto"/>
              <w:right w:val="single" w:sz="4" w:space="0" w:color="auto"/>
            </w:tcBorders>
            <w:shd w:val="clear" w:color="auto" w:fill="FFFFFF" w:themeFill="background1"/>
            <w:vAlign w:val="center"/>
          </w:tcPr>
          <w:p w14:paraId="01B08287" w14:textId="77777777" w:rsidR="005F30C3" w:rsidRPr="00EA3808" w:rsidRDefault="005F30C3" w:rsidP="00D05B67">
            <w:pPr>
              <w:jc w:val="both"/>
              <w:rPr>
                <w:rFonts w:ascii="Verdana" w:hAnsi="Verdana" w:cs="Arial"/>
                <w:sz w:val="22"/>
                <w:szCs w:val="22"/>
              </w:rPr>
            </w:pPr>
            <w:r w:rsidRPr="00EA3808">
              <w:rPr>
                <w:rFonts w:ascii="Verdana" w:hAnsi="Verdana" w:cs="Arial"/>
                <w:sz w:val="22"/>
                <w:szCs w:val="22"/>
              </w:rPr>
              <w:t>Concepto de aprobación nuevos trámites del Departamento Administrativo de la Función Pública</w:t>
            </w:r>
          </w:p>
          <w:p w14:paraId="6B8C2D3D" w14:textId="77777777" w:rsidR="005F30C3" w:rsidRPr="00EA3808" w:rsidRDefault="005F30C3" w:rsidP="00D05B67">
            <w:pPr>
              <w:jc w:val="both"/>
              <w:rPr>
                <w:rFonts w:ascii="Verdana" w:hAnsi="Verdana" w:cs="Arial"/>
                <w:sz w:val="22"/>
                <w:szCs w:val="22"/>
              </w:rPr>
            </w:pPr>
            <w:r w:rsidRPr="00EA3808">
              <w:rPr>
                <w:rFonts w:ascii="Verdana" w:hAnsi="Verdana" w:cs="Arial"/>
                <w:i/>
                <w:color w:val="808080"/>
                <w:szCs w:val="22"/>
              </w:rPr>
              <w:t>(Cuando el proyecto normativo adopte o modifique un trámite)</w:t>
            </w:r>
          </w:p>
        </w:tc>
        <w:tc>
          <w:tcPr>
            <w:tcW w:w="3119" w:type="dxa"/>
            <w:tcBorders>
              <w:top w:val="single" w:sz="4" w:space="0" w:color="auto"/>
              <w:left w:val="single" w:sz="4" w:space="0" w:color="auto"/>
              <w:bottom w:val="single" w:sz="4" w:space="0" w:color="auto"/>
            </w:tcBorders>
            <w:shd w:val="clear" w:color="auto" w:fill="FFFFFF" w:themeFill="background1"/>
            <w:vAlign w:val="center"/>
          </w:tcPr>
          <w:p w14:paraId="7BB05FD7" w14:textId="77777777" w:rsidR="005F30C3" w:rsidRPr="00EA3808" w:rsidRDefault="005F30C3" w:rsidP="00D05B67">
            <w:pPr>
              <w:jc w:val="both"/>
              <w:rPr>
                <w:rFonts w:ascii="Verdana" w:hAnsi="Verdana" w:cs="Arial"/>
                <w:sz w:val="22"/>
                <w:szCs w:val="22"/>
              </w:rPr>
            </w:pPr>
            <w:r w:rsidRPr="00EA3808">
              <w:rPr>
                <w:rFonts w:ascii="Verdana" w:hAnsi="Verdana" w:cs="Arial"/>
                <w:i/>
                <w:color w:val="808080"/>
                <w:sz w:val="22"/>
                <w:szCs w:val="22"/>
              </w:rPr>
              <w:t>(Marque con una x)</w:t>
            </w:r>
          </w:p>
        </w:tc>
      </w:tr>
      <w:tr w:rsidR="005F30C3" w:rsidRPr="00EA3808" w14:paraId="56D1ED86" w14:textId="77777777" w:rsidTr="086CF79C">
        <w:trPr>
          <w:trHeight w:val="66"/>
        </w:trPr>
        <w:tc>
          <w:tcPr>
            <w:tcW w:w="7655" w:type="dxa"/>
            <w:gridSpan w:val="2"/>
            <w:tcBorders>
              <w:top w:val="single" w:sz="4" w:space="0" w:color="auto"/>
              <w:bottom w:val="single" w:sz="4" w:space="0" w:color="auto"/>
              <w:right w:val="single" w:sz="4" w:space="0" w:color="auto"/>
            </w:tcBorders>
            <w:shd w:val="clear" w:color="auto" w:fill="FFFFFF" w:themeFill="background1"/>
            <w:vAlign w:val="center"/>
          </w:tcPr>
          <w:p w14:paraId="646B2358" w14:textId="77777777" w:rsidR="005F30C3" w:rsidRPr="00EA3808" w:rsidRDefault="005F30C3" w:rsidP="00084B49">
            <w:pPr>
              <w:jc w:val="both"/>
              <w:rPr>
                <w:rFonts w:ascii="Verdana" w:hAnsi="Verdana" w:cs="Arial"/>
                <w:sz w:val="22"/>
                <w:szCs w:val="22"/>
              </w:rPr>
            </w:pPr>
            <w:r w:rsidRPr="00EA3808">
              <w:rPr>
                <w:rFonts w:ascii="Verdana" w:hAnsi="Verdana" w:cs="Arial"/>
                <w:sz w:val="22"/>
                <w:szCs w:val="22"/>
              </w:rPr>
              <w:t xml:space="preserve">Otro </w:t>
            </w:r>
          </w:p>
          <w:p w14:paraId="7D37C2D4" w14:textId="77777777" w:rsidR="005F30C3" w:rsidRPr="00EA3808" w:rsidRDefault="005F30C3" w:rsidP="00084B49">
            <w:pPr>
              <w:jc w:val="both"/>
              <w:rPr>
                <w:rFonts w:ascii="Verdana" w:hAnsi="Verdana" w:cs="Arial"/>
                <w:sz w:val="22"/>
                <w:szCs w:val="22"/>
              </w:rPr>
            </w:pPr>
            <w:r w:rsidRPr="00EA3808">
              <w:rPr>
                <w:rFonts w:ascii="Verdana" w:hAnsi="Verdana" w:cs="Arial"/>
                <w:i/>
                <w:color w:val="808080"/>
                <w:szCs w:val="22"/>
              </w:rPr>
              <w:t>(Cualquier otro aspecto que la entidad originadora de la norma considere relevante o de importancia)</w:t>
            </w:r>
          </w:p>
        </w:tc>
        <w:tc>
          <w:tcPr>
            <w:tcW w:w="3119" w:type="dxa"/>
            <w:tcBorders>
              <w:top w:val="single" w:sz="4" w:space="0" w:color="auto"/>
              <w:left w:val="single" w:sz="4" w:space="0" w:color="auto"/>
              <w:bottom w:val="single" w:sz="4" w:space="0" w:color="auto"/>
            </w:tcBorders>
            <w:shd w:val="clear" w:color="auto" w:fill="FFFFFF" w:themeFill="background1"/>
            <w:vAlign w:val="center"/>
          </w:tcPr>
          <w:p w14:paraId="5F3A3361" w14:textId="77777777" w:rsidR="005F30C3" w:rsidRPr="00EA3808" w:rsidRDefault="005F30C3" w:rsidP="00D05B67">
            <w:pPr>
              <w:jc w:val="both"/>
              <w:rPr>
                <w:rFonts w:ascii="Verdana" w:hAnsi="Verdana" w:cs="Arial"/>
                <w:sz w:val="22"/>
                <w:szCs w:val="22"/>
              </w:rPr>
            </w:pPr>
            <w:r w:rsidRPr="00EA3808">
              <w:rPr>
                <w:rFonts w:ascii="Verdana" w:hAnsi="Verdana" w:cs="Arial"/>
                <w:i/>
                <w:color w:val="808080"/>
                <w:sz w:val="22"/>
                <w:szCs w:val="22"/>
              </w:rPr>
              <w:t>(Marque con una x)</w:t>
            </w:r>
          </w:p>
        </w:tc>
      </w:tr>
    </w:tbl>
    <w:p w14:paraId="4E920CFD" w14:textId="77777777" w:rsidR="00301DC2" w:rsidRPr="00EA3808" w:rsidRDefault="00301DC2" w:rsidP="00587695">
      <w:pPr>
        <w:ind w:right="-377"/>
        <w:jc w:val="both"/>
        <w:rPr>
          <w:rFonts w:ascii="Verdana" w:hAnsi="Verdana" w:cs="Arial"/>
          <w:sz w:val="22"/>
          <w:szCs w:val="22"/>
        </w:rPr>
      </w:pPr>
    </w:p>
    <w:p w14:paraId="5409218C" w14:textId="77777777" w:rsidR="00B66D03" w:rsidRPr="00EA3808" w:rsidRDefault="000B30A6" w:rsidP="00696582">
      <w:pPr>
        <w:ind w:left="-1276" w:right="-377" w:firstLine="283"/>
        <w:jc w:val="both"/>
        <w:rPr>
          <w:rFonts w:ascii="Verdana" w:hAnsi="Verdana" w:cs="Arial"/>
          <w:b/>
          <w:sz w:val="22"/>
          <w:szCs w:val="22"/>
        </w:rPr>
      </w:pPr>
      <w:r w:rsidRPr="00EA3808">
        <w:rPr>
          <w:rFonts w:ascii="Verdana" w:hAnsi="Verdana" w:cs="Arial"/>
          <w:b/>
          <w:sz w:val="22"/>
          <w:szCs w:val="22"/>
        </w:rPr>
        <w:t>Aprobó</w:t>
      </w:r>
      <w:r w:rsidR="00CB4D37" w:rsidRPr="00EA3808">
        <w:rPr>
          <w:rFonts w:ascii="Verdana" w:hAnsi="Verdana" w:cs="Arial"/>
          <w:b/>
          <w:sz w:val="22"/>
          <w:szCs w:val="22"/>
        </w:rPr>
        <w:t>:</w:t>
      </w:r>
    </w:p>
    <w:p w14:paraId="7D58D751" w14:textId="77777777" w:rsidR="00014D67" w:rsidRPr="00EA3808" w:rsidRDefault="00014D67" w:rsidP="00431BB6">
      <w:pPr>
        <w:ind w:right="-377"/>
        <w:jc w:val="both"/>
        <w:rPr>
          <w:rFonts w:ascii="Verdana" w:hAnsi="Verdana" w:cs="Arial"/>
          <w:sz w:val="22"/>
          <w:szCs w:val="22"/>
        </w:rPr>
      </w:pPr>
    </w:p>
    <w:p w14:paraId="54492800" w14:textId="77777777" w:rsidR="001A1E25" w:rsidRPr="00EA3808" w:rsidRDefault="001A1E25" w:rsidP="00431BB6">
      <w:pPr>
        <w:ind w:right="-377"/>
        <w:jc w:val="both"/>
        <w:rPr>
          <w:rFonts w:ascii="Verdana" w:hAnsi="Verdana" w:cs="Arial"/>
          <w:sz w:val="22"/>
          <w:szCs w:val="22"/>
        </w:rPr>
      </w:pPr>
    </w:p>
    <w:p w14:paraId="15905F4B" w14:textId="77777777" w:rsidR="00D05B67" w:rsidRPr="00EA3808" w:rsidRDefault="00D05B67" w:rsidP="00CE5AB3">
      <w:pPr>
        <w:pStyle w:val="Listavistosa-nfasis11"/>
        <w:ind w:left="-993"/>
        <w:jc w:val="center"/>
        <w:rPr>
          <w:rFonts w:ascii="Verdana" w:hAnsi="Verdana" w:cs="Arial"/>
          <w:b/>
        </w:rPr>
      </w:pPr>
      <w:r w:rsidRPr="00EA3808">
        <w:rPr>
          <w:rFonts w:ascii="Verdana" w:hAnsi="Verdana" w:cs="Arial"/>
          <w:b/>
        </w:rPr>
        <w:t>_______________</w:t>
      </w:r>
      <w:r w:rsidR="00431BB6" w:rsidRPr="00EA3808">
        <w:rPr>
          <w:rFonts w:ascii="Verdana" w:hAnsi="Verdana" w:cs="Arial"/>
          <w:b/>
        </w:rPr>
        <w:t>______________________________________________________</w:t>
      </w:r>
      <w:r w:rsidRPr="00EA3808">
        <w:rPr>
          <w:rFonts w:ascii="Verdana" w:hAnsi="Verdana" w:cs="Arial"/>
          <w:b/>
        </w:rPr>
        <w:t>__</w:t>
      </w:r>
    </w:p>
    <w:p w14:paraId="5EA48B2C" w14:textId="77777777" w:rsidR="00D05B67" w:rsidRPr="00EA3808" w:rsidRDefault="00D05B67" w:rsidP="00CE5AB3">
      <w:pPr>
        <w:pStyle w:val="Listavistosa-nfasis11"/>
        <w:ind w:left="-993"/>
        <w:jc w:val="center"/>
        <w:rPr>
          <w:rFonts w:ascii="Verdana" w:hAnsi="Verdana" w:cs="Arial"/>
          <w:b/>
        </w:rPr>
      </w:pPr>
      <w:r w:rsidRPr="00EA3808">
        <w:rPr>
          <w:rFonts w:ascii="Verdana" w:hAnsi="Verdana" w:cs="Arial"/>
          <w:b/>
        </w:rPr>
        <w:lastRenderedPageBreak/>
        <w:t xml:space="preserve">Nombre y firma del </w:t>
      </w:r>
      <w:proofErr w:type="gramStart"/>
      <w:r w:rsidRPr="00EA3808">
        <w:rPr>
          <w:rFonts w:ascii="Verdana" w:hAnsi="Verdana" w:cs="Arial"/>
          <w:b/>
        </w:rPr>
        <w:t>Jefe</w:t>
      </w:r>
      <w:proofErr w:type="gramEnd"/>
      <w:r w:rsidRPr="00EA3808">
        <w:rPr>
          <w:rFonts w:ascii="Verdana" w:hAnsi="Verdana" w:cs="Arial"/>
          <w:b/>
        </w:rPr>
        <w:t xml:space="preserve"> de la Oficina Jurídica entidad originadora o dependencia que haga sus veces</w:t>
      </w:r>
    </w:p>
    <w:p w14:paraId="697C0966" w14:textId="77777777" w:rsidR="00D05B67" w:rsidRPr="00EA3808" w:rsidRDefault="00D05B67" w:rsidP="00CE5AB3">
      <w:pPr>
        <w:pStyle w:val="Listavistosa-nfasis11"/>
        <w:ind w:left="-993"/>
        <w:jc w:val="center"/>
        <w:rPr>
          <w:rFonts w:ascii="Verdana" w:hAnsi="Verdana" w:cs="Arial"/>
          <w:b/>
        </w:rPr>
      </w:pPr>
    </w:p>
    <w:p w14:paraId="568175E7" w14:textId="77777777" w:rsidR="001A1E25" w:rsidRPr="00EA3808" w:rsidRDefault="001A1E25" w:rsidP="00CE5AB3">
      <w:pPr>
        <w:pStyle w:val="Listavistosa-nfasis11"/>
        <w:ind w:left="-993"/>
        <w:jc w:val="center"/>
        <w:rPr>
          <w:rFonts w:ascii="Verdana" w:hAnsi="Verdana" w:cs="Arial"/>
          <w:b/>
        </w:rPr>
      </w:pPr>
    </w:p>
    <w:p w14:paraId="3F9515AE" w14:textId="77777777" w:rsidR="001A1E25" w:rsidRPr="00EA3808" w:rsidRDefault="001A1E25" w:rsidP="00CE5AB3">
      <w:pPr>
        <w:pStyle w:val="Listavistosa-nfasis11"/>
        <w:ind w:left="-993"/>
        <w:jc w:val="center"/>
        <w:rPr>
          <w:rFonts w:ascii="Verdana" w:hAnsi="Verdana" w:cs="Arial"/>
          <w:b/>
        </w:rPr>
      </w:pPr>
      <w:r w:rsidRPr="00EA3808">
        <w:rPr>
          <w:rFonts w:ascii="Verdana" w:hAnsi="Verdana" w:cs="Arial"/>
          <w:b/>
        </w:rPr>
        <w:t>_______________________________________________________________________</w:t>
      </w:r>
    </w:p>
    <w:p w14:paraId="556D8A3A" w14:textId="77777777" w:rsidR="00D05B67" w:rsidRPr="00EA3808" w:rsidRDefault="00D05B67" w:rsidP="00CE5AB3">
      <w:pPr>
        <w:pStyle w:val="Listavistosa-nfasis11"/>
        <w:ind w:left="-993"/>
        <w:jc w:val="center"/>
        <w:rPr>
          <w:rFonts w:ascii="Verdana" w:hAnsi="Verdana" w:cs="Arial"/>
          <w:b/>
        </w:rPr>
      </w:pPr>
      <w:r w:rsidRPr="00EA3808">
        <w:rPr>
          <w:rFonts w:ascii="Verdana" w:hAnsi="Verdana" w:cs="Arial"/>
          <w:b/>
        </w:rPr>
        <w:t>Nombre y firma del (los) servidor(es) público(s) responsables en la entidad cabeza del sector administrativo que lidera el proyecto normativo</w:t>
      </w:r>
      <w:r w:rsidR="008F1DE8" w:rsidRPr="00EA3808">
        <w:rPr>
          <w:rFonts w:ascii="Verdana" w:hAnsi="Verdana" w:cs="Arial"/>
          <w:b/>
        </w:rPr>
        <w:t xml:space="preserve"> (área(s) misional(es))</w:t>
      </w:r>
    </w:p>
    <w:p w14:paraId="665CC0FD" w14:textId="77777777" w:rsidR="00D05B67" w:rsidRPr="00EA3808" w:rsidRDefault="00D05B67" w:rsidP="00CE5AB3">
      <w:pPr>
        <w:pStyle w:val="Listavistosa-nfasis11"/>
        <w:ind w:left="-993"/>
        <w:jc w:val="center"/>
        <w:rPr>
          <w:rFonts w:ascii="Verdana" w:hAnsi="Verdana" w:cs="Arial"/>
          <w:b/>
        </w:rPr>
      </w:pPr>
    </w:p>
    <w:p w14:paraId="0F6495A9" w14:textId="77777777" w:rsidR="001A1E25" w:rsidRPr="00EA3808" w:rsidRDefault="001A1E25" w:rsidP="00CE5AB3">
      <w:pPr>
        <w:pStyle w:val="Listavistosa-nfasis11"/>
        <w:ind w:left="-993"/>
        <w:jc w:val="center"/>
        <w:rPr>
          <w:rFonts w:ascii="Verdana" w:hAnsi="Verdana" w:cs="Arial"/>
          <w:b/>
        </w:rPr>
      </w:pPr>
    </w:p>
    <w:p w14:paraId="20CE2F84" w14:textId="77777777" w:rsidR="001A1E25" w:rsidRPr="00EA3808" w:rsidRDefault="001A1E25" w:rsidP="00CE5AB3">
      <w:pPr>
        <w:pStyle w:val="Listavistosa-nfasis11"/>
        <w:ind w:left="-993"/>
        <w:jc w:val="center"/>
        <w:rPr>
          <w:rFonts w:ascii="Verdana" w:hAnsi="Verdana" w:cs="Arial"/>
          <w:b/>
        </w:rPr>
      </w:pPr>
    </w:p>
    <w:p w14:paraId="21019A7F" w14:textId="77777777" w:rsidR="001A1E25" w:rsidRPr="00EA3808" w:rsidRDefault="001A1E25" w:rsidP="00CE5AB3">
      <w:pPr>
        <w:pStyle w:val="Listavistosa-nfasis11"/>
        <w:ind w:left="-993"/>
        <w:jc w:val="center"/>
        <w:rPr>
          <w:rFonts w:ascii="Verdana" w:hAnsi="Verdana" w:cs="Arial"/>
          <w:b/>
        </w:rPr>
      </w:pPr>
      <w:r w:rsidRPr="00EA3808">
        <w:rPr>
          <w:rFonts w:ascii="Verdana" w:hAnsi="Verdana" w:cs="Arial"/>
          <w:b/>
        </w:rPr>
        <w:t>_______________________________________________________________________</w:t>
      </w:r>
    </w:p>
    <w:p w14:paraId="5590AECF" w14:textId="77777777" w:rsidR="006779DA" w:rsidRPr="00EA3808" w:rsidRDefault="00D05B67" w:rsidP="00CE5AB3">
      <w:pPr>
        <w:pStyle w:val="Listavistosa-nfasis11"/>
        <w:ind w:left="-993"/>
        <w:jc w:val="center"/>
        <w:rPr>
          <w:rFonts w:ascii="Verdana" w:hAnsi="Verdana" w:cs="Arial"/>
          <w:b/>
        </w:rPr>
      </w:pPr>
      <w:r w:rsidRPr="00EA3808">
        <w:rPr>
          <w:rFonts w:ascii="Verdana" w:hAnsi="Verdana" w:cs="Arial"/>
          <w:b/>
        </w:rPr>
        <w:t>Nombre y firma del (los) servidor(es) público(s) responsables de otras entidades</w:t>
      </w:r>
      <w:r w:rsidRPr="00EA3808">
        <w:rPr>
          <w:rFonts w:ascii="Verdana" w:hAnsi="Verdana"/>
        </w:rPr>
        <w:t xml:space="preserve"> </w:t>
      </w:r>
      <w:r w:rsidR="008F1DE8" w:rsidRPr="00EA3808">
        <w:rPr>
          <w:rFonts w:ascii="Verdana" w:hAnsi="Verdana" w:cs="Arial"/>
          <w:b/>
        </w:rPr>
        <w:t>(área(s) misional(es))</w:t>
      </w:r>
    </w:p>
    <w:sectPr w:rsidR="006779DA" w:rsidRPr="00EA3808" w:rsidSect="00CE5AB3">
      <w:headerReference w:type="even" r:id="rId15"/>
      <w:headerReference w:type="default" r:id="rId16"/>
      <w:footerReference w:type="default" r:id="rId17"/>
      <w:headerReference w:type="first" r:id="rId18"/>
      <w:footerReference w:type="first" r:id="rId19"/>
      <w:type w:val="continuous"/>
      <w:pgSz w:w="12240" w:h="15840" w:code="1"/>
      <w:pgMar w:top="1616" w:right="616" w:bottom="1115" w:left="1701" w:header="624"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84E33" w14:textId="77777777" w:rsidR="00621BEF" w:rsidRDefault="00621BEF">
      <w:r>
        <w:separator/>
      </w:r>
    </w:p>
  </w:endnote>
  <w:endnote w:type="continuationSeparator" w:id="0">
    <w:p w14:paraId="0130A241" w14:textId="77777777" w:rsidR="00621BEF" w:rsidRDefault="00621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5D10A" w14:textId="77777777" w:rsidR="00CE5AB3" w:rsidRDefault="00496BDC" w:rsidP="00CE5AB3">
    <w:pPr>
      <w:pStyle w:val="Piedepgina"/>
      <w:tabs>
        <w:tab w:val="left" w:pos="3555"/>
      </w:tabs>
      <w:ind w:left="-993"/>
      <w:rPr>
        <w:rFonts w:ascii="Arial Narrow" w:hAnsi="Arial Narrow"/>
        <w:color w:val="7F7F7F"/>
        <w:sz w:val="18"/>
        <w:szCs w:val="18"/>
      </w:rPr>
    </w:pPr>
    <w:bookmarkStart w:id="0" w:name="_Hlk52279145"/>
    <w:r w:rsidRPr="005A4F38">
      <w:rPr>
        <w:rFonts w:ascii="Arial Narrow" w:hAnsi="Arial Narrow"/>
        <w:color w:val="7F7F7F"/>
        <w:sz w:val="18"/>
        <w:szCs w:val="18"/>
      </w:rPr>
      <w:t xml:space="preserve">Formato tomado </w:t>
    </w:r>
    <w:r w:rsidR="0041114C" w:rsidRPr="005A4F38">
      <w:rPr>
        <w:rFonts w:ascii="Arial Narrow" w:hAnsi="Arial Narrow"/>
        <w:color w:val="7F7F7F"/>
        <w:sz w:val="18"/>
        <w:szCs w:val="18"/>
      </w:rPr>
      <w:t xml:space="preserve">del Departamento Administrativo de la Función Pública a partir de lo reglamentado por medio del Decreto 1273 </w:t>
    </w:r>
    <w:r w:rsidR="008F1DE8">
      <w:rPr>
        <w:rFonts w:ascii="Arial Narrow" w:hAnsi="Arial Narrow"/>
        <w:color w:val="7F7F7F"/>
        <w:sz w:val="18"/>
        <w:szCs w:val="18"/>
      </w:rPr>
      <w:t xml:space="preserve">de 2020 </w:t>
    </w:r>
    <w:r w:rsidR="0041114C" w:rsidRPr="005A4F38">
      <w:rPr>
        <w:rFonts w:ascii="Arial Narrow" w:hAnsi="Arial Narrow"/>
        <w:color w:val="7F7F7F"/>
        <w:sz w:val="18"/>
        <w:szCs w:val="18"/>
      </w:rPr>
      <w:t>y la Resolución 371 de 2020.</w:t>
    </w:r>
    <w:bookmarkEnd w:id="0"/>
    <w:r w:rsidR="001A1E25" w:rsidRPr="005A4F38">
      <w:rPr>
        <w:rFonts w:ascii="Arial Narrow" w:hAnsi="Arial Narrow"/>
        <w:color w:val="7F7F7F"/>
        <w:sz w:val="18"/>
        <w:szCs w:val="18"/>
      </w:rPr>
      <w:tab/>
      <w:t xml:space="preserve">      </w:t>
    </w:r>
    <w:r w:rsidR="00CE5AB3">
      <w:rPr>
        <w:rFonts w:ascii="Arial Narrow" w:hAnsi="Arial Narrow"/>
        <w:color w:val="7F7F7F"/>
        <w:sz w:val="18"/>
        <w:szCs w:val="18"/>
      </w:rPr>
      <w:t xml:space="preserve">                         </w:t>
    </w:r>
  </w:p>
  <w:p w14:paraId="2281395D" w14:textId="77777777" w:rsidR="00CE5AB3" w:rsidRPr="002F32A6" w:rsidRDefault="00CE5AB3" w:rsidP="00CE5AB3">
    <w:pPr>
      <w:pStyle w:val="Piedepgina"/>
      <w:tabs>
        <w:tab w:val="left" w:pos="3555"/>
      </w:tabs>
      <w:ind w:left="-993"/>
      <w:rPr>
        <w:sz w:val="18"/>
        <w:szCs w:val="18"/>
      </w:rPr>
    </w:pPr>
    <w:r w:rsidRPr="002F32A6">
      <w:rPr>
        <w:sz w:val="18"/>
        <w:szCs w:val="18"/>
      </w:rPr>
      <w:t xml:space="preserve">Calle 37 No. 8 – 40 </w:t>
    </w:r>
  </w:p>
  <w:p w14:paraId="52825843" w14:textId="77777777" w:rsidR="00CE5AB3" w:rsidRDefault="00CE5AB3" w:rsidP="00CE5AB3">
    <w:pPr>
      <w:pStyle w:val="Piedepgina"/>
      <w:tabs>
        <w:tab w:val="left" w:pos="3555"/>
      </w:tabs>
      <w:ind w:left="-993"/>
      <w:rPr>
        <w:sz w:val="18"/>
        <w:szCs w:val="18"/>
      </w:rPr>
    </w:pPr>
    <w:r>
      <w:rPr>
        <w:sz w:val="18"/>
        <w:szCs w:val="18"/>
      </w:rPr>
      <w:t>Conmutador +57 601</w:t>
    </w:r>
    <w:r w:rsidRPr="002F32A6">
      <w:rPr>
        <w:sz w:val="18"/>
        <w:szCs w:val="18"/>
      </w:rPr>
      <w:t>3323400</w:t>
    </w:r>
  </w:p>
  <w:p w14:paraId="6D80D402" w14:textId="77777777" w:rsidR="00CE5AB3" w:rsidRPr="002F32A6" w:rsidRDefault="00CE5AB3" w:rsidP="00CE5AB3">
    <w:pPr>
      <w:pStyle w:val="Piedepgina"/>
      <w:tabs>
        <w:tab w:val="left" w:pos="3555"/>
      </w:tabs>
      <w:ind w:left="-993"/>
      <w:rPr>
        <w:sz w:val="18"/>
        <w:szCs w:val="18"/>
      </w:rPr>
    </w:pPr>
    <w:hyperlink r:id="rId1" w:history="1">
      <w:r w:rsidRPr="002F32A6">
        <w:rPr>
          <w:rStyle w:val="Hipervnculo"/>
          <w:sz w:val="18"/>
          <w:szCs w:val="18"/>
        </w:rPr>
        <w:t>www.minambiente.gov.co</w:t>
      </w:r>
    </w:hyperlink>
  </w:p>
  <w:p w14:paraId="0252507C" w14:textId="77777777" w:rsidR="00CE5AB3" w:rsidRDefault="00CE5AB3" w:rsidP="00CE5AB3">
    <w:pPr>
      <w:pStyle w:val="Piedepgina"/>
      <w:tabs>
        <w:tab w:val="left" w:pos="3555"/>
      </w:tabs>
      <w:ind w:left="-993"/>
    </w:pPr>
    <w:r w:rsidRPr="002F32A6">
      <w:rPr>
        <w:sz w:val="18"/>
        <w:szCs w:val="18"/>
      </w:rPr>
      <w:t>Bogotá, Colombia</w:t>
    </w:r>
    <w:r>
      <w:rPr>
        <w:sz w:val="18"/>
        <w:szCs w:val="18"/>
      </w:rPr>
      <w:tab/>
    </w:r>
    <w:r>
      <w:rPr>
        <w:sz w:val="18"/>
        <w:szCs w:val="18"/>
      </w:rPr>
      <w:tab/>
    </w:r>
    <w:r>
      <w:rPr>
        <w:sz w:val="18"/>
        <w:szCs w:val="18"/>
      </w:rPr>
      <w:tab/>
    </w:r>
    <w:r w:rsidRPr="00722047">
      <w:t xml:space="preserve">Página </w:t>
    </w:r>
    <w:r w:rsidRPr="00722047">
      <w:rPr>
        <w:b/>
        <w:bCs/>
      </w:rPr>
      <w:fldChar w:fldCharType="begin"/>
    </w:r>
    <w:r w:rsidRPr="00722047">
      <w:rPr>
        <w:b/>
        <w:bCs/>
      </w:rPr>
      <w:instrText>PAGE  \* Arabic  \* MERGEFORMAT</w:instrText>
    </w:r>
    <w:r w:rsidRPr="00722047">
      <w:rPr>
        <w:b/>
        <w:bCs/>
      </w:rPr>
      <w:fldChar w:fldCharType="separate"/>
    </w:r>
    <w:r w:rsidR="00D82FA2">
      <w:rPr>
        <w:b/>
        <w:bCs/>
        <w:noProof/>
      </w:rPr>
      <w:t>2</w:t>
    </w:r>
    <w:r w:rsidRPr="00722047">
      <w:rPr>
        <w:b/>
        <w:bCs/>
      </w:rPr>
      <w:fldChar w:fldCharType="end"/>
    </w:r>
    <w:r w:rsidRPr="00722047">
      <w:t xml:space="preserve"> de </w:t>
    </w:r>
    <w:r>
      <w:t>2</w:t>
    </w:r>
  </w:p>
  <w:p w14:paraId="2AE64CFC" w14:textId="77777777" w:rsidR="00CE5AB3" w:rsidRDefault="00CE5AB3" w:rsidP="00CE5AB3">
    <w:pPr>
      <w:pStyle w:val="Piedepgina"/>
      <w:tabs>
        <w:tab w:val="left" w:pos="3555"/>
      </w:tabs>
      <w:ind w:left="-993"/>
    </w:pPr>
  </w:p>
  <w:p w14:paraId="60243245" w14:textId="77777777" w:rsidR="00CE5AB3" w:rsidRPr="00CE5AB3" w:rsidRDefault="00CE5AB3" w:rsidP="00CE5AB3">
    <w:pPr>
      <w:pStyle w:val="Piedepgina"/>
      <w:tabs>
        <w:tab w:val="left" w:pos="3555"/>
      </w:tabs>
      <w:ind w:left="-993" w:right="-1085"/>
      <w:jc w:val="both"/>
      <w:rPr>
        <w:rFonts w:ascii="Arial Narrow" w:hAnsi="Arial Narrow"/>
        <w:color w:val="7F7F7F"/>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488E2" w14:textId="77777777" w:rsidR="001A1E25" w:rsidRDefault="001A1E25" w:rsidP="001A1E25">
    <w:pPr>
      <w:pStyle w:val="Piedepgina"/>
      <w:tabs>
        <w:tab w:val="left" w:pos="3555"/>
      </w:tabs>
      <w:jc w:val="both"/>
      <w:rPr>
        <w:rFonts w:ascii="Arial Narrow" w:hAnsi="Arial Narrow"/>
        <w:sz w:val="18"/>
        <w:szCs w:val="18"/>
      </w:rPr>
    </w:pPr>
    <w:r w:rsidRPr="001A1E25">
      <w:rPr>
        <w:rFonts w:ascii="Arial Narrow" w:hAnsi="Arial Narrow"/>
        <w:color w:val="A6A6A6"/>
        <w:sz w:val="18"/>
        <w:szCs w:val="18"/>
      </w:rPr>
      <w:t>MEMORIA JUSTIFICATIVA</w:t>
    </w:r>
    <w:r w:rsidRPr="001A1E25">
      <w:rPr>
        <w:rFonts w:ascii="Arial Narrow" w:hAnsi="Arial Narrow"/>
        <w:color w:val="A6A6A6"/>
        <w:sz w:val="18"/>
        <w:szCs w:val="18"/>
      </w:rPr>
      <w:tab/>
    </w:r>
    <w:r w:rsidRPr="001A1E25">
      <w:rPr>
        <w:rFonts w:ascii="Arial Narrow" w:hAnsi="Arial Narrow"/>
        <w:color w:val="A6A6A6"/>
        <w:sz w:val="18"/>
        <w:szCs w:val="18"/>
      </w:rPr>
      <w:tab/>
    </w:r>
    <w:r w:rsidRPr="001A1E25">
      <w:rPr>
        <w:rFonts w:ascii="Arial Narrow" w:hAnsi="Arial Narrow"/>
        <w:color w:val="A6A6A6"/>
        <w:sz w:val="18"/>
        <w:szCs w:val="18"/>
      </w:rPr>
      <w:tab/>
      <w:t xml:space="preserve">                                      </w:t>
    </w:r>
    <w:r w:rsidRPr="009A3873">
      <w:rPr>
        <w:rFonts w:ascii="Arial Narrow" w:hAnsi="Arial Narrow"/>
        <w:sz w:val="18"/>
        <w:szCs w:val="18"/>
      </w:rPr>
      <w:t xml:space="preserve">Calle 37 No. 8 – 40 </w:t>
    </w:r>
  </w:p>
  <w:p w14:paraId="4814336C" w14:textId="77777777" w:rsidR="001A1E25" w:rsidRDefault="001A1E25" w:rsidP="001A1E25">
    <w:pPr>
      <w:pStyle w:val="Piedepgina"/>
      <w:tabs>
        <w:tab w:val="left" w:pos="3555"/>
      </w:tabs>
      <w:jc w:val="both"/>
      <w:rPr>
        <w:rFonts w:ascii="Arial Narrow" w:hAnsi="Arial Narrow"/>
        <w:sz w:val="18"/>
        <w:szCs w:val="18"/>
      </w:rPr>
    </w:pPr>
    <w:r w:rsidRPr="001A1E25">
      <w:rPr>
        <w:rFonts w:ascii="Arial Narrow" w:hAnsi="Arial Narrow"/>
        <w:color w:val="A6A6A6"/>
        <w:sz w:val="18"/>
        <w:szCs w:val="18"/>
      </w:rPr>
      <w:t xml:space="preserve">F-A-GJR-07                                                                                  </w:t>
    </w:r>
    <w:r w:rsidRPr="001A1E25">
      <w:rPr>
        <w:rFonts w:ascii="Arial Narrow" w:hAnsi="Arial Narrow"/>
        <w:color w:val="A6A6A6"/>
        <w:sz w:val="18"/>
        <w:szCs w:val="18"/>
      </w:rPr>
      <w:tab/>
    </w:r>
    <w:r w:rsidRPr="001A1E25">
      <w:rPr>
        <w:rFonts w:ascii="Arial Narrow" w:hAnsi="Arial Narrow"/>
        <w:color w:val="A6A6A6"/>
        <w:sz w:val="18"/>
        <w:szCs w:val="18"/>
      </w:rPr>
      <w:tab/>
    </w:r>
    <w:r w:rsidRPr="009A3873">
      <w:rPr>
        <w:rFonts w:ascii="Arial Narrow" w:hAnsi="Arial Narrow"/>
        <w:sz w:val="18"/>
        <w:szCs w:val="18"/>
      </w:rPr>
      <w:t>Conmutador (571) 3323400</w:t>
    </w:r>
  </w:p>
  <w:p w14:paraId="4A059099" w14:textId="77777777" w:rsidR="001A1E25" w:rsidRDefault="001A1E25" w:rsidP="001A1E25">
    <w:pPr>
      <w:pStyle w:val="Piedepgina"/>
      <w:tabs>
        <w:tab w:val="left" w:pos="3555"/>
      </w:tabs>
      <w:jc w:val="both"/>
      <w:rPr>
        <w:rFonts w:ascii="Arial Narrow" w:hAnsi="Arial Narrow"/>
        <w:sz w:val="18"/>
        <w:szCs w:val="18"/>
      </w:rPr>
    </w:pPr>
    <w:r w:rsidRPr="008F0815">
      <w:rPr>
        <w:rFonts w:ascii="Arial Narrow" w:hAnsi="Arial Narrow"/>
        <w:color w:val="FF0000"/>
        <w:sz w:val="18"/>
        <w:szCs w:val="18"/>
      </w:rPr>
      <w:t xml:space="preserve">Vigencia: </w:t>
    </w:r>
    <w:r>
      <w:rPr>
        <w:rFonts w:ascii="Arial Narrow" w:hAnsi="Arial Narrow"/>
        <w:color w:val="FF0000"/>
        <w:sz w:val="18"/>
        <w:szCs w:val="18"/>
      </w:rPr>
      <w:t>15</w:t>
    </w:r>
    <w:r w:rsidRPr="008F0815">
      <w:rPr>
        <w:rFonts w:ascii="Arial Narrow" w:hAnsi="Arial Narrow"/>
        <w:color w:val="FF0000"/>
        <w:sz w:val="18"/>
        <w:szCs w:val="18"/>
      </w:rPr>
      <w:t>/</w:t>
    </w:r>
    <w:r>
      <w:rPr>
        <w:rFonts w:ascii="Arial Narrow" w:hAnsi="Arial Narrow"/>
        <w:color w:val="FF0000"/>
        <w:sz w:val="18"/>
        <w:szCs w:val="18"/>
      </w:rPr>
      <w:t>10</w:t>
    </w:r>
    <w:r w:rsidRPr="008F0815">
      <w:rPr>
        <w:rFonts w:ascii="Arial Narrow" w:hAnsi="Arial Narrow"/>
        <w:color w:val="FF0000"/>
        <w:sz w:val="18"/>
        <w:szCs w:val="18"/>
      </w:rPr>
      <w:t>/20</w:t>
    </w:r>
    <w:r>
      <w:rPr>
        <w:rFonts w:ascii="Arial Narrow" w:hAnsi="Arial Narrow"/>
        <w:color w:val="FF0000"/>
        <w:sz w:val="18"/>
        <w:szCs w:val="18"/>
      </w:rPr>
      <w:t>20</w:t>
    </w:r>
    <w:r w:rsidRPr="008F0815">
      <w:rPr>
        <w:rFonts w:ascii="Arial Narrow" w:hAnsi="Arial Narrow"/>
        <w:color w:val="FF0000"/>
        <w:sz w:val="18"/>
        <w:szCs w:val="18"/>
      </w:rPr>
      <w:t xml:space="preserve">                                                                      </w:t>
    </w:r>
    <w:r w:rsidRPr="001A1E25">
      <w:rPr>
        <w:rFonts w:ascii="Arial Narrow" w:hAnsi="Arial Narrow"/>
        <w:color w:val="A6A6A6"/>
        <w:sz w:val="18"/>
        <w:szCs w:val="18"/>
      </w:rPr>
      <w:tab/>
      <w:t xml:space="preserve">                                     </w:t>
    </w:r>
    <w:hyperlink r:id="rId1" w:history="1">
      <w:r w:rsidRPr="009A3873">
        <w:rPr>
          <w:rStyle w:val="Hipervnculo"/>
          <w:rFonts w:ascii="Arial Narrow" w:hAnsi="Arial Narrow"/>
          <w:sz w:val="18"/>
          <w:szCs w:val="18"/>
        </w:rPr>
        <w:t>www.minambiente.gov.co</w:t>
      </w:r>
    </w:hyperlink>
    <w:r>
      <w:rPr>
        <w:rFonts w:ascii="Arial Narrow" w:hAnsi="Arial Narrow"/>
        <w:sz w:val="18"/>
        <w:szCs w:val="18"/>
      </w:rPr>
      <w:t xml:space="preserve"> </w:t>
    </w:r>
  </w:p>
  <w:p w14:paraId="528919AB" w14:textId="77777777" w:rsidR="001A1E25" w:rsidRPr="008F0815" w:rsidRDefault="001A1E25" w:rsidP="001A1E25">
    <w:pPr>
      <w:pStyle w:val="Piedepgina"/>
      <w:tabs>
        <w:tab w:val="left" w:pos="3555"/>
      </w:tabs>
      <w:jc w:val="both"/>
      <w:rPr>
        <w:rFonts w:ascii="Arial Narrow" w:hAnsi="Arial Narrow"/>
        <w:sz w:val="18"/>
        <w:szCs w:val="18"/>
      </w:rPr>
    </w:pPr>
    <w:r w:rsidRPr="001A1E25">
      <w:rPr>
        <w:rFonts w:ascii="Arial Narrow" w:hAnsi="Arial Narrow"/>
        <w:color w:val="A6A6A6"/>
        <w:sz w:val="18"/>
        <w:szCs w:val="18"/>
      </w:rPr>
      <w:t xml:space="preserve">Versión 3                                                                                                      </w:t>
    </w:r>
    <w:r w:rsidRPr="001A1E25">
      <w:rPr>
        <w:rFonts w:ascii="Arial Narrow" w:hAnsi="Arial Narrow"/>
        <w:color w:val="A6A6A6"/>
        <w:sz w:val="18"/>
        <w:szCs w:val="18"/>
      </w:rPr>
      <w:tab/>
    </w:r>
    <w:r w:rsidRPr="009A3873">
      <w:rPr>
        <w:rFonts w:ascii="Arial Narrow" w:hAnsi="Arial Narrow"/>
        <w:sz w:val="18"/>
        <w:szCs w:val="18"/>
      </w:rPr>
      <w:t>Bogotá, Colombia</w:t>
    </w:r>
  </w:p>
  <w:p w14:paraId="70AA9806" w14:textId="77777777" w:rsidR="001A1E25" w:rsidRDefault="001A1E2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FF287" w14:textId="77777777" w:rsidR="00621BEF" w:rsidRDefault="00621BEF">
      <w:r>
        <w:separator/>
      </w:r>
    </w:p>
  </w:footnote>
  <w:footnote w:type="continuationSeparator" w:id="0">
    <w:p w14:paraId="6F9CF099" w14:textId="77777777" w:rsidR="00621BEF" w:rsidRDefault="00621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8AC63" w14:textId="77777777" w:rsidR="008A7359" w:rsidRDefault="00000000">
    <w:pPr>
      <w:pStyle w:val="Encabezado"/>
    </w:pPr>
    <w:r>
      <w:rPr>
        <w:noProof/>
        <w:lang w:val="es-CO" w:eastAsia="es-CO"/>
      </w:rPr>
      <w:pict w14:anchorId="3508FE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49344" o:spid="_x0000_s1028" type="#_x0000_t75" style="position:absolute;margin-left:0;margin-top:0;width:496.05pt;height:149.6pt;z-index:-251658238;mso-wrap-edited:f;mso-position-horizontal:center;mso-position-horizontal-relative:margin;mso-position-vertical:center;mso-position-vertical-relative:margin" o:allowincell="f">
          <v:imagedata r:id="rId1" o:title="Logo Marca de agu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A5EEB" w14:textId="77777777" w:rsidR="00F07A7D" w:rsidRDefault="00F07A7D">
    <w:pPr>
      <w:pStyle w:val="Encabezado"/>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2"/>
      <w:gridCol w:w="6209"/>
      <w:gridCol w:w="1843"/>
    </w:tblGrid>
    <w:tr w:rsidR="00CE5AB3" w:rsidRPr="009E07BE" w14:paraId="3CE1523D" w14:textId="77777777" w:rsidTr="00CE5AB3">
      <w:trPr>
        <w:cantSplit/>
        <w:trHeight w:val="313"/>
      </w:trPr>
      <w:tc>
        <w:tcPr>
          <w:tcW w:w="2722" w:type="dxa"/>
          <w:vMerge w:val="restart"/>
          <w:vAlign w:val="center"/>
        </w:tcPr>
        <w:p w14:paraId="61680EBF" w14:textId="77777777" w:rsidR="00CE5AB3" w:rsidRPr="001D62F3" w:rsidRDefault="00CE5AB3" w:rsidP="00CE5AB3">
          <w:pPr>
            <w:jc w:val="center"/>
            <w:rPr>
              <w:rFonts w:cs="Arial"/>
              <w:bCs/>
              <w:spacing w:val="-6"/>
              <w:sz w:val="18"/>
            </w:rPr>
          </w:pPr>
          <w:r w:rsidRPr="001D62F3">
            <w:rPr>
              <w:rFonts w:cs="Arial"/>
              <w:bCs/>
              <w:spacing w:val="-6"/>
              <w:sz w:val="18"/>
            </w:rPr>
            <w:t>MINISTERIO DE AMBIENTE Y DESARROLLO SOSTENIBLE</w:t>
          </w:r>
        </w:p>
      </w:tc>
      <w:tc>
        <w:tcPr>
          <w:tcW w:w="6209" w:type="dxa"/>
          <w:shd w:val="clear" w:color="auto" w:fill="154A8A"/>
        </w:tcPr>
        <w:p w14:paraId="700AAA1F" w14:textId="77777777" w:rsidR="00CE5AB3" w:rsidRPr="00B80E2A" w:rsidRDefault="00CE5AB3" w:rsidP="00CE5AB3">
          <w:pPr>
            <w:spacing w:before="60"/>
            <w:ind w:right="-40"/>
            <w:jc w:val="center"/>
            <w:rPr>
              <w:rFonts w:cs="Arial"/>
              <w:b/>
              <w:bCs/>
              <w:color w:val="FFFFFF"/>
              <w:spacing w:val="-6"/>
            </w:rPr>
          </w:pPr>
          <w:r w:rsidRPr="00B80E2A">
            <w:rPr>
              <w:rFonts w:cs="Arial"/>
              <w:b/>
              <w:bCs/>
              <w:color w:val="FFFFFF"/>
              <w:spacing w:val="-6"/>
            </w:rPr>
            <w:t>MEMORIA JUSTIFICATIVA</w:t>
          </w:r>
        </w:p>
      </w:tc>
      <w:tc>
        <w:tcPr>
          <w:tcW w:w="1843" w:type="dxa"/>
          <w:vMerge w:val="restart"/>
          <w:vAlign w:val="center"/>
        </w:tcPr>
        <w:p w14:paraId="642D6750" w14:textId="1DA1579F" w:rsidR="00CE5AB3" w:rsidRPr="001D62F3" w:rsidRDefault="00E137F3" w:rsidP="00CE5AB3">
          <w:pPr>
            <w:ind w:right="-42"/>
            <w:jc w:val="center"/>
            <w:rPr>
              <w:rFonts w:cs="Arial"/>
              <w:b/>
              <w:bCs/>
              <w:spacing w:val="-6"/>
            </w:rPr>
          </w:pPr>
          <w:r w:rsidRPr="00CE5AB3">
            <w:rPr>
              <w:rFonts w:cs="Arial"/>
              <w:b/>
              <w:noProof/>
              <w:spacing w:val="-6"/>
              <w:lang w:val="es-CO" w:eastAsia="es-CO"/>
            </w:rPr>
            <w:drawing>
              <wp:inline distT="0" distB="0" distL="0" distR="0" wp14:anchorId="35243513" wp14:editId="1A21CC25">
                <wp:extent cx="1051560" cy="320040"/>
                <wp:effectExtent l="0" t="0" r="0" b="0"/>
                <wp:docPr id="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
                          <a:extLst>
                            <a:ext uri="{28A0092B-C50C-407E-A947-70E740481C1C}">
                              <a14:useLocalDpi xmlns:a14="http://schemas.microsoft.com/office/drawing/2010/main" val="0"/>
                            </a:ext>
                          </a:extLst>
                        </a:blip>
                        <a:srcRect l="-563" t="-1860" r="-1199" b="-3265"/>
                        <a:stretch>
                          <a:fillRect/>
                        </a:stretch>
                      </pic:blipFill>
                      <pic:spPr bwMode="auto">
                        <a:xfrm>
                          <a:off x="0" y="0"/>
                          <a:ext cx="1051560" cy="320040"/>
                        </a:xfrm>
                        <a:prstGeom prst="rect">
                          <a:avLst/>
                        </a:prstGeom>
                        <a:noFill/>
                        <a:ln>
                          <a:noFill/>
                        </a:ln>
                      </pic:spPr>
                    </pic:pic>
                  </a:graphicData>
                </a:graphic>
              </wp:inline>
            </w:drawing>
          </w:r>
        </w:p>
      </w:tc>
    </w:tr>
    <w:tr w:rsidR="00CE5AB3" w:rsidRPr="009E07BE" w14:paraId="731673BA" w14:textId="77777777" w:rsidTr="00CE5AB3">
      <w:trPr>
        <w:cantSplit/>
        <w:trHeight w:val="316"/>
      </w:trPr>
      <w:tc>
        <w:tcPr>
          <w:tcW w:w="2722" w:type="dxa"/>
          <w:vMerge/>
          <w:vAlign w:val="center"/>
        </w:tcPr>
        <w:p w14:paraId="2B1CB066" w14:textId="77777777" w:rsidR="00CE5AB3" w:rsidRPr="001D62F3" w:rsidRDefault="00CE5AB3" w:rsidP="00CE5AB3">
          <w:pPr>
            <w:jc w:val="center"/>
            <w:rPr>
              <w:rFonts w:cs="Arial"/>
              <w:bCs/>
              <w:spacing w:val="-6"/>
              <w:szCs w:val="17"/>
            </w:rPr>
          </w:pPr>
        </w:p>
      </w:tc>
      <w:tc>
        <w:tcPr>
          <w:tcW w:w="6209" w:type="dxa"/>
          <w:shd w:val="clear" w:color="auto" w:fill="E1E1E1"/>
        </w:tcPr>
        <w:p w14:paraId="06A8026A" w14:textId="77777777" w:rsidR="00CE5AB3" w:rsidRPr="001D62F3" w:rsidRDefault="00CE5AB3" w:rsidP="00CE5AB3">
          <w:pPr>
            <w:ind w:right="-42"/>
            <w:jc w:val="center"/>
            <w:rPr>
              <w:rFonts w:cs="Arial"/>
              <w:bCs/>
              <w:spacing w:val="-6"/>
            </w:rPr>
          </w:pPr>
          <w:r>
            <w:rPr>
              <w:b/>
              <w:bCs/>
            </w:rPr>
            <w:t xml:space="preserve">Proceso: </w:t>
          </w:r>
          <w:r>
            <w:t>Gestión jurídica</w:t>
          </w:r>
        </w:p>
      </w:tc>
      <w:tc>
        <w:tcPr>
          <w:tcW w:w="1843" w:type="dxa"/>
          <w:vMerge/>
          <w:vAlign w:val="center"/>
        </w:tcPr>
        <w:p w14:paraId="76714950" w14:textId="77777777" w:rsidR="00CE5AB3" w:rsidRPr="001D62F3" w:rsidRDefault="00CE5AB3" w:rsidP="00CE5AB3">
          <w:pPr>
            <w:ind w:right="-42"/>
            <w:jc w:val="center"/>
            <w:rPr>
              <w:rFonts w:cs="Arial"/>
              <w:bCs/>
              <w:spacing w:val="-6"/>
            </w:rPr>
          </w:pPr>
        </w:p>
      </w:tc>
    </w:tr>
    <w:tr w:rsidR="00CE5AB3" w:rsidRPr="009E07BE" w14:paraId="5A4D88B8" w14:textId="77777777" w:rsidTr="00CE5AB3">
      <w:trPr>
        <w:cantSplit/>
        <w:trHeight w:val="339"/>
      </w:trPr>
      <w:tc>
        <w:tcPr>
          <w:tcW w:w="2722" w:type="dxa"/>
          <w:vAlign w:val="center"/>
        </w:tcPr>
        <w:p w14:paraId="3F62958A" w14:textId="77777777" w:rsidR="00CE5AB3" w:rsidRPr="001D62F3" w:rsidRDefault="00CE5AB3" w:rsidP="00CE5AB3">
          <w:pPr>
            <w:jc w:val="center"/>
            <w:rPr>
              <w:rFonts w:cs="Arial"/>
              <w:bCs/>
              <w:spacing w:val="-6"/>
              <w:sz w:val="16"/>
              <w:szCs w:val="17"/>
              <w:lang w:val="en-US"/>
            </w:rPr>
          </w:pPr>
          <w:r w:rsidRPr="001D62F3">
            <w:rPr>
              <w:rFonts w:cs="Arial"/>
              <w:b/>
              <w:bCs/>
              <w:spacing w:val="-6"/>
              <w:sz w:val="16"/>
            </w:rPr>
            <w:t>Versión</w:t>
          </w:r>
          <w:r w:rsidRPr="001D62F3">
            <w:rPr>
              <w:rFonts w:cs="Arial"/>
              <w:bCs/>
              <w:spacing w:val="-6"/>
              <w:sz w:val="16"/>
            </w:rPr>
            <w:t>:</w:t>
          </w:r>
          <w:r>
            <w:rPr>
              <w:rFonts w:cs="Arial"/>
              <w:bCs/>
              <w:spacing w:val="-6"/>
              <w:sz w:val="16"/>
            </w:rPr>
            <w:t xml:space="preserve"> 4</w:t>
          </w:r>
        </w:p>
      </w:tc>
      <w:tc>
        <w:tcPr>
          <w:tcW w:w="6209" w:type="dxa"/>
        </w:tcPr>
        <w:p w14:paraId="440FA96C" w14:textId="77777777" w:rsidR="00CE5AB3" w:rsidRPr="001D62F3" w:rsidRDefault="00CE5AB3" w:rsidP="00D82FA2">
          <w:pPr>
            <w:ind w:right="-42"/>
            <w:jc w:val="center"/>
            <w:rPr>
              <w:rFonts w:cs="Arial"/>
              <w:bCs/>
              <w:spacing w:val="-6"/>
              <w:sz w:val="16"/>
            </w:rPr>
          </w:pPr>
          <w:r>
            <w:rPr>
              <w:b/>
              <w:bCs/>
              <w:sz w:val="16"/>
              <w:szCs w:val="16"/>
            </w:rPr>
            <w:t>Vigencia</w:t>
          </w:r>
          <w:r>
            <w:rPr>
              <w:sz w:val="16"/>
              <w:szCs w:val="16"/>
            </w:rPr>
            <w:t>: 2</w:t>
          </w:r>
          <w:r w:rsidR="00D82FA2">
            <w:rPr>
              <w:sz w:val="16"/>
              <w:szCs w:val="16"/>
            </w:rPr>
            <w:t>5</w:t>
          </w:r>
          <w:r>
            <w:rPr>
              <w:sz w:val="16"/>
              <w:szCs w:val="16"/>
            </w:rPr>
            <w:t>/1</w:t>
          </w:r>
          <w:r w:rsidR="00D82FA2">
            <w:rPr>
              <w:sz w:val="16"/>
              <w:szCs w:val="16"/>
            </w:rPr>
            <w:t>1</w:t>
          </w:r>
          <w:r>
            <w:rPr>
              <w:sz w:val="16"/>
              <w:szCs w:val="16"/>
            </w:rPr>
            <w:t>/2022</w:t>
          </w:r>
        </w:p>
      </w:tc>
      <w:tc>
        <w:tcPr>
          <w:tcW w:w="1843" w:type="dxa"/>
          <w:vAlign w:val="center"/>
        </w:tcPr>
        <w:p w14:paraId="27E3695B" w14:textId="77777777" w:rsidR="00CE5AB3" w:rsidRPr="001D62F3" w:rsidRDefault="00CE5AB3" w:rsidP="00CE5AB3">
          <w:pPr>
            <w:ind w:right="-42"/>
            <w:jc w:val="center"/>
            <w:rPr>
              <w:rFonts w:cs="Arial"/>
              <w:bCs/>
              <w:spacing w:val="-6"/>
              <w:sz w:val="16"/>
            </w:rPr>
          </w:pPr>
          <w:r w:rsidRPr="001D62F3">
            <w:rPr>
              <w:rFonts w:cs="Arial"/>
              <w:b/>
              <w:bCs/>
              <w:spacing w:val="-6"/>
              <w:sz w:val="16"/>
            </w:rPr>
            <w:t>Código:</w:t>
          </w:r>
          <w:r w:rsidRPr="001D62F3">
            <w:rPr>
              <w:rFonts w:cs="Arial"/>
              <w:bCs/>
              <w:spacing w:val="-6"/>
              <w:sz w:val="16"/>
            </w:rPr>
            <w:t xml:space="preserve"> </w:t>
          </w:r>
          <w:r>
            <w:rPr>
              <w:rFonts w:cs="Arial"/>
              <w:bCs/>
              <w:spacing w:val="-6"/>
              <w:sz w:val="16"/>
            </w:rPr>
            <w:t>F</w:t>
          </w:r>
          <w:r w:rsidRPr="00722047">
            <w:rPr>
              <w:rFonts w:cs="Arial"/>
              <w:bCs/>
              <w:spacing w:val="-6"/>
              <w:sz w:val="16"/>
            </w:rPr>
            <w:t>-A-GJR-0</w:t>
          </w:r>
          <w:r>
            <w:rPr>
              <w:rFonts w:cs="Arial"/>
              <w:bCs/>
              <w:spacing w:val="-6"/>
              <w:sz w:val="16"/>
            </w:rPr>
            <w:t>7</w:t>
          </w:r>
        </w:p>
      </w:tc>
    </w:tr>
  </w:tbl>
  <w:p w14:paraId="6B82F1AD" w14:textId="7987810F" w:rsidR="00F07A7D" w:rsidRDefault="00E137F3">
    <w:pPr>
      <w:pStyle w:val="Encabezado"/>
    </w:pPr>
    <w:r>
      <w:rPr>
        <w:noProof/>
      </w:rPr>
      <w:drawing>
        <wp:anchor distT="0" distB="0" distL="114300" distR="114300" simplePos="0" relativeHeight="251658243" behindDoc="1" locked="0" layoutInCell="1" allowOverlap="1" wp14:anchorId="4914E6A1" wp14:editId="3C0DD3EA">
          <wp:simplePos x="0" y="0"/>
          <wp:positionH relativeFrom="margin">
            <wp:posOffset>514350</wp:posOffset>
          </wp:positionH>
          <wp:positionV relativeFrom="paragraph">
            <wp:posOffset>3205480</wp:posOffset>
          </wp:positionV>
          <wp:extent cx="5258435" cy="1586230"/>
          <wp:effectExtent l="0" t="0" r="0" b="0"/>
          <wp:wrapNone/>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lum bright="20000" contrast="-20000"/>
                    <a:extLst>
                      <a:ext uri="{28A0092B-C50C-407E-A947-70E740481C1C}">
                        <a14:useLocalDpi xmlns:a14="http://schemas.microsoft.com/office/drawing/2010/main" val="0"/>
                      </a:ext>
                    </a:extLst>
                  </a:blip>
                  <a:srcRect/>
                  <a:stretch>
                    <a:fillRect/>
                  </a:stretch>
                </pic:blipFill>
                <pic:spPr bwMode="auto">
                  <a:xfrm>
                    <a:off x="0" y="0"/>
                    <a:ext cx="5258435" cy="15862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950"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6"/>
      <w:gridCol w:w="4567"/>
      <w:gridCol w:w="3503"/>
    </w:tblGrid>
    <w:tr w:rsidR="00431BB6" w:rsidRPr="006374A6" w14:paraId="32433BE7" w14:textId="77777777" w:rsidTr="00431BB6">
      <w:trPr>
        <w:cantSplit/>
        <w:trHeight w:val="706"/>
      </w:trPr>
      <w:tc>
        <w:tcPr>
          <w:tcW w:w="1579" w:type="pct"/>
          <w:vMerge w:val="restart"/>
          <w:vAlign w:val="center"/>
        </w:tcPr>
        <w:p w14:paraId="67D1DF49" w14:textId="77777777" w:rsidR="00431BB6" w:rsidRPr="006374A6" w:rsidRDefault="00431BB6" w:rsidP="00431BB6">
          <w:pPr>
            <w:jc w:val="center"/>
            <w:rPr>
              <w:rFonts w:ascii="Arial Narrow" w:hAnsi="Arial Narrow" w:cs="Arial"/>
              <w:b/>
            </w:rPr>
          </w:pPr>
          <w:r w:rsidRPr="006374A6">
            <w:rPr>
              <w:rFonts w:ascii="Arial Narrow" w:hAnsi="Arial Narrow" w:cs="Arial"/>
              <w:bCs/>
              <w:spacing w:val="-6"/>
            </w:rPr>
            <w:t>MINISTERIO DE AMBIENTE Y DESARROLLO SOSTENIBLE</w:t>
          </w:r>
        </w:p>
      </w:tc>
      <w:tc>
        <w:tcPr>
          <w:tcW w:w="1936" w:type="pct"/>
          <w:shd w:val="clear" w:color="auto" w:fill="4472C4"/>
          <w:vAlign w:val="center"/>
        </w:tcPr>
        <w:p w14:paraId="796FEBB4" w14:textId="77777777" w:rsidR="00431BB6" w:rsidRPr="00431BB6" w:rsidRDefault="00431BB6" w:rsidP="00431BB6">
          <w:pPr>
            <w:spacing w:before="60"/>
            <w:ind w:right="-40"/>
            <w:jc w:val="center"/>
            <w:rPr>
              <w:rFonts w:ascii="Arial Narrow" w:hAnsi="Arial Narrow" w:cs="Arial"/>
              <w:b/>
              <w:color w:val="FFFFFF"/>
              <w:sz w:val="24"/>
              <w:szCs w:val="24"/>
            </w:rPr>
          </w:pPr>
          <w:r w:rsidRPr="00431BB6">
            <w:rPr>
              <w:rFonts w:ascii="Arial Narrow" w:hAnsi="Arial Narrow"/>
              <w:b/>
              <w:color w:val="FFFFFF"/>
              <w:sz w:val="24"/>
              <w:szCs w:val="24"/>
            </w:rPr>
            <w:t>MEMORIA JUSTIFICATIVA</w:t>
          </w:r>
        </w:p>
      </w:tc>
      <w:tc>
        <w:tcPr>
          <w:tcW w:w="1485" w:type="pct"/>
          <w:vMerge w:val="restart"/>
          <w:vAlign w:val="center"/>
        </w:tcPr>
        <w:p w14:paraId="55B23FB7" w14:textId="4FA834AE" w:rsidR="00431BB6" w:rsidRPr="006374A6" w:rsidRDefault="00E137F3" w:rsidP="00431BB6">
          <w:pPr>
            <w:ind w:right="-42"/>
            <w:jc w:val="center"/>
            <w:rPr>
              <w:rFonts w:ascii="Arial Narrow" w:hAnsi="Arial Narrow" w:cs="Arial"/>
              <w:b/>
            </w:rPr>
          </w:pPr>
          <w:r w:rsidRPr="006374A6">
            <w:rPr>
              <w:rFonts w:ascii="Arial Narrow" w:hAnsi="Arial Narrow" w:cs="Arial"/>
              <w:b/>
              <w:noProof/>
              <w:lang w:val="es-CO" w:eastAsia="es-CO"/>
            </w:rPr>
            <w:drawing>
              <wp:anchor distT="0" distB="0" distL="114300" distR="114300" simplePos="0" relativeHeight="251658240" behindDoc="0" locked="0" layoutInCell="1" allowOverlap="1" wp14:anchorId="41E08854" wp14:editId="73DF1151">
                <wp:simplePos x="0" y="0"/>
                <wp:positionH relativeFrom="margin">
                  <wp:posOffset>233680</wp:posOffset>
                </wp:positionH>
                <wp:positionV relativeFrom="margin">
                  <wp:posOffset>146050</wp:posOffset>
                </wp:positionV>
                <wp:extent cx="1536700" cy="39878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6700" cy="398780"/>
                        </a:xfrm>
                        <a:prstGeom prst="rect">
                          <a:avLst/>
                        </a:prstGeom>
                        <a:noFill/>
                      </pic:spPr>
                    </pic:pic>
                  </a:graphicData>
                </a:graphic>
                <wp14:sizeRelH relativeFrom="page">
                  <wp14:pctWidth>0</wp14:pctWidth>
                </wp14:sizeRelH>
                <wp14:sizeRelV relativeFrom="page">
                  <wp14:pctHeight>0</wp14:pctHeight>
                </wp14:sizeRelV>
              </wp:anchor>
            </w:drawing>
          </w:r>
        </w:p>
      </w:tc>
    </w:tr>
    <w:tr w:rsidR="00431BB6" w:rsidRPr="006374A6" w14:paraId="1DD9AC28" w14:textId="77777777" w:rsidTr="00431BB6">
      <w:trPr>
        <w:cantSplit/>
        <w:trHeight w:val="273"/>
      </w:trPr>
      <w:tc>
        <w:tcPr>
          <w:tcW w:w="1579" w:type="pct"/>
          <w:vMerge/>
          <w:vAlign w:val="center"/>
        </w:tcPr>
        <w:p w14:paraId="585DE063" w14:textId="77777777" w:rsidR="00431BB6" w:rsidRPr="006374A6" w:rsidRDefault="00431BB6" w:rsidP="00431BB6">
          <w:pPr>
            <w:jc w:val="center"/>
            <w:rPr>
              <w:rFonts w:ascii="Arial Narrow" w:hAnsi="Arial Narrow" w:cs="Arial"/>
              <w:bCs/>
              <w:spacing w:val="-6"/>
            </w:rPr>
          </w:pPr>
        </w:p>
      </w:tc>
      <w:tc>
        <w:tcPr>
          <w:tcW w:w="1936" w:type="pct"/>
          <w:shd w:val="clear" w:color="auto" w:fill="E6EFFD"/>
          <w:vAlign w:val="center"/>
        </w:tcPr>
        <w:p w14:paraId="24761D25" w14:textId="77777777" w:rsidR="00431BB6" w:rsidRPr="006374A6" w:rsidRDefault="00431BB6" w:rsidP="00431BB6">
          <w:pPr>
            <w:ind w:right="-42"/>
            <w:jc w:val="center"/>
            <w:rPr>
              <w:rFonts w:ascii="Arial Narrow" w:hAnsi="Arial Narrow" w:cs="Arial"/>
              <w:bCs/>
              <w:spacing w:val="-6"/>
            </w:rPr>
          </w:pPr>
          <w:r w:rsidRPr="00431BB6">
            <w:rPr>
              <w:rFonts w:ascii="Arial Narrow" w:hAnsi="Arial Narrow" w:cs="Arial"/>
              <w:b/>
              <w:spacing w:val="-6"/>
            </w:rPr>
            <w:t>Proceso:</w:t>
          </w:r>
          <w:r w:rsidRPr="006374A6">
            <w:rPr>
              <w:rFonts w:ascii="Arial Narrow" w:hAnsi="Arial Narrow" w:cs="Arial"/>
              <w:bCs/>
              <w:spacing w:val="-6"/>
            </w:rPr>
            <w:t xml:space="preserve"> </w:t>
          </w:r>
          <w:r>
            <w:rPr>
              <w:rFonts w:ascii="Arial Narrow" w:hAnsi="Arial Narrow" w:cs="Arial"/>
              <w:bCs/>
              <w:spacing w:val="-6"/>
            </w:rPr>
            <w:t>Gestión Jurídica</w:t>
          </w:r>
        </w:p>
      </w:tc>
      <w:tc>
        <w:tcPr>
          <w:tcW w:w="1485" w:type="pct"/>
          <w:vMerge/>
          <w:vAlign w:val="center"/>
        </w:tcPr>
        <w:p w14:paraId="6248CC7C" w14:textId="77777777" w:rsidR="00431BB6" w:rsidRPr="006374A6" w:rsidRDefault="00431BB6" w:rsidP="00431BB6">
          <w:pPr>
            <w:ind w:right="-42"/>
            <w:jc w:val="center"/>
            <w:rPr>
              <w:rFonts w:ascii="Arial Narrow" w:hAnsi="Arial Narrow" w:cs="Arial"/>
              <w:bCs/>
              <w:spacing w:val="-6"/>
            </w:rPr>
          </w:pPr>
        </w:p>
      </w:tc>
    </w:tr>
    <w:tr w:rsidR="00431BB6" w:rsidRPr="006374A6" w14:paraId="1AA58EDC" w14:textId="77777777" w:rsidTr="00431BB6">
      <w:trPr>
        <w:cantSplit/>
        <w:trHeight w:val="278"/>
      </w:trPr>
      <w:tc>
        <w:tcPr>
          <w:tcW w:w="1579" w:type="pct"/>
          <w:vAlign w:val="center"/>
        </w:tcPr>
        <w:p w14:paraId="42AE3EB7" w14:textId="77777777" w:rsidR="00431BB6" w:rsidRPr="006374A6" w:rsidRDefault="00431BB6" w:rsidP="00431BB6">
          <w:pPr>
            <w:jc w:val="center"/>
            <w:rPr>
              <w:rFonts w:ascii="Arial Narrow" w:hAnsi="Arial Narrow" w:cs="Arial"/>
              <w:bCs/>
              <w:color w:val="FF0000"/>
              <w:spacing w:val="-6"/>
              <w:lang w:val="en-US"/>
            </w:rPr>
          </w:pPr>
          <w:r w:rsidRPr="00431BB6">
            <w:rPr>
              <w:rFonts w:ascii="Arial Narrow" w:hAnsi="Arial Narrow" w:cs="Arial"/>
              <w:b/>
              <w:color w:val="FF0000"/>
              <w:spacing w:val="-6"/>
            </w:rPr>
            <w:t>Versión:</w:t>
          </w:r>
          <w:r w:rsidRPr="006374A6">
            <w:rPr>
              <w:rFonts w:ascii="Arial Narrow" w:hAnsi="Arial Narrow" w:cs="Arial"/>
              <w:bCs/>
              <w:color w:val="FF0000"/>
              <w:spacing w:val="-6"/>
            </w:rPr>
            <w:t xml:space="preserve"> </w:t>
          </w:r>
          <w:r>
            <w:rPr>
              <w:rFonts w:ascii="Arial Narrow" w:hAnsi="Arial Narrow" w:cs="Arial"/>
              <w:bCs/>
              <w:color w:val="FF0000"/>
              <w:spacing w:val="-6"/>
            </w:rPr>
            <w:t>3</w:t>
          </w:r>
        </w:p>
      </w:tc>
      <w:tc>
        <w:tcPr>
          <w:tcW w:w="1936" w:type="pct"/>
          <w:vAlign w:val="center"/>
        </w:tcPr>
        <w:p w14:paraId="31A8D78F" w14:textId="77777777" w:rsidR="00431BB6" w:rsidRPr="006374A6" w:rsidRDefault="00431BB6" w:rsidP="00431BB6">
          <w:pPr>
            <w:ind w:right="-42"/>
            <w:jc w:val="center"/>
            <w:rPr>
              <w:rFonts w:ascii="Arial Narrow" w:hAnsi="Arial Narrow" w:cs="Arial"/>
              <w:bCs/>
              <w:color w:val="FF0000"/>
              <w:spacing w:val="-6"/>
            </w:rPr>
          </w:pPr>
          <w:r w:rsidRPr="00431BB6">
            <w:rPr>
              <w:rFonts w:ascii="Arial Narrow" w:hAnsi="Arial Narrow" w:cs="Arial"/>
              <w:b/>
              <w:color w:val="FF0000"/>
              <w:spacing w:val="-6"/>
            </w:rPr>
            <w:t>Vigencia:</w:t>
          </w:r>
          <w:r w:rsidRPr="006374A6">
            <w:rPr>
              <w:rFonts w:ascii="Arial Narrow" w:hAnsi="Arial Narrow" w:cs="Arial"/>
              <w:bCs/>
              <w:color w:val="FF0000"/>
              <w:spacing w:val="-6"/>
            </w:rPr>
            <w:t xml:space="preserve"> </w:t>
          </w:r>
          <w:r>
            <w:rPr>
              <w:rFonts w:ascii="Arial Narrow" w:hAnsi="Arial Narrow" w:cs="Arial"/>
              <w:bCs/>
              <w:color w:val="FF0000"/>
              <w:spacing w:val="-6"/>
            </w:rPr>
            <w:t>15/10/2020</w:t>
          </w:r>
        </w:p>
      </w:tc>
      <w:tc>
        <w:tcPr>
          <w:tcW w:w="1485" w:type="pct"/>
          <w:vAlign w:val="center"/>
        </w:tcPr>
        <w:p w14:paraId="35626410" w14:textId="77777777" w:rsidR="00431BB6" w:rsidRPr="006374A6" w:rsidRDefault="00431BB6" w:rsidP="00431BB6">
          <w:pPr>
            <w:ind w:right="-42"/>
            <w:jc w:val="center"/>
            <w:rPr>
              <w:rFonts w:ascii="Arial Narrow" w:hAnsi="Arial Narrow" w:cs="Arial"/>
              <w:bCs/>
              <w:color w:val="FF0000"/>
              <w:spacing w:val="-6"/>
            </w:rPr>
          </w:pPr>
          <w:r w:rsidRPr="00431BB6">
            <w:rPr>
              <w:rFonts w:ascii="Arial Narrow" w:hAnsi="Arial Narrow" w:cs="Arial"/>
              <w:b/>
              <w:color w:val="FF0000"/>
              <w:spacing w:val="-6"/>
            </w:rPr>
            <w:t>Código:</w:t>
          </w:r>
          <w:r w:rsidRPr="006374A6">
            <w:rPr>
              <w:rFonts w:ascii="Arial Narrow" w:hAnsi="Arial Narrow" w:cs="Arial"/>
              <w:bCs/>
              <w:color w:val="FF0000"/>
              <w:spacing w:val="-6"/>
            </w:rPr>
            <w:t xml:space="preserve"> </w:t>
          </w:r>
          <w:r>
            <w:rPr>
              <w:rFonts w:ascii="Arial Narrow" w:hAnsi="Arial Narrow" w:cs="Arial"/>
              <w:bCs/>
              <w:color w:val="FF0000"/>
              <w:spacing w:val="-6"/>
            </w:rPr>
            <w:t>F-A-GJR-07</w:t>
          </w:r>
        </w:p>
      </w:tc>
    </w:tr>
  </w:tbl>
  <w:p w14:paraId="5C66479E" w14:textId="77777777" w:rsidR="00350767" w:rsidRDefault="00000000">
    <w:pPr>
      <w:pStyle w:val="Encabezado"/>
    </w:pPr>
    <w:r>
      <w:rPr>
        <w:rFonts w:ascii="Arial Narrow" w:hAnsi="Arial Narrow" w:cs="Arial"/>
        <w:bCs/>
        <w:noProof/>
        <w:spacing w:val="-6"/>
        <w:lang w:val="es-CO" w:eastAsia="es-CO"/>
      </w:rPr>
      <w:pict w14:anchorId="5DDAD0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49343" o:spid="_x0000_s1025" type="#_x0000_t75" style="position:absolute;margin-left:0;margin-top:0;width:496.05pt;height:149.6pt;z-index:-251658239;mso-wrap-edited:f;mso-position-horizontal:center;mso-position-horizontal-relative:margin;mso-position-vertical:center;mso-position-vertical-relative:margin" o:allowincell="f">
          <v:imagedata r:id="rId2" o:title="Logo Marca de agu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238E"/>
    <w:multiLevelType w:val="multilevel"/>
    <w:tmpl w:val="533C9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900C8C"/>
    <w:multiLevelType w:val="multilevel"/>
    <w:tmpl w:val="EC98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AC6F52"/>
    <w:multiLevelType w:val="multilevel"/>
    <w:tmpl w:val="EE8A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0339A0"/>
    <w:multiLevelType w:val="multilevel"/>
    <w:tmpl w:val="F8CC2AD0"/>
    <w:lvl w:ilvl="0">
      <w:start w:val="2"/>
      <w:numFmt w:val="decimal"/>
      <w:lvlText w:val="%1."/>
      <w:lvlJc w:val="left"/>
      <w:pPr>
        <w:ind w:left="508" w:hanging="310"/>
      </w:pPr>
      <w:rPr>
        <w:rFonts w:ascii="Arial" w:eastAsia="Verdana" w:hAnsi="Arial" w:cs="Arial" w:hint="default"/>
        <w:b w:val="0"/>
        <w:i w:val="0"/>
        <w:color w:val="333333"/>
        <w:sz w:val="20"/>
        <w:szCs w:val="20"/>
      </w:rPr>
    </w:lvl>
    <w:lvl w:ilvl="1">
      <w:numFmt w:val="bullet"/>
      <w:lvlText w:val="•"/>
      <w:lvlJc w:val="left"/>
      <w:pPr>
        <w:ind w:left="1602" w:hanging="310"/>
      </w:pPr>
    </w:lvl>
    <w:lvl w:ilvl="2">
      <w:numFmt w:val="bullet"/>
      <w:lvlText w:val="•"/>
      <w:lvlJc w:val="left"/>
      <w:pPr>
        <w:ind w:left="2704" w:hanging="310"/>
      </w:pPr>
    </w:lvl>
    <w:lvl w:ilvl="3">
      <w:numFmt w:val="bullet"/>
      <w:lvlText w:val="•"/>
      <w:lvlJc w:val="left"/>
      <w:pPr>
        <w:ind w:left="3806" w:hanging="310"/>
      </w:pPr>
    </w:lvl>
    <w:lvl w:ilvl="4">
      <w:numFmt w:val="bullet"/>
      <w:lvlText w:val="•"/>
      <w:lvlJc w:val="left"/>
      <w:pPr>
        <w:ind w:left="4908" w:hanging="310"/>
      </w:pPr>
    </w:lvl>
    <w:lvl w:ilvl="5">
      <w:numFmt w:val="bullet"/>
      <w:lvlText w:val="•"/>
      <w:lvlJc w:val="left"/>
      <w:pPr>
        <w:ind w:left="6010" w:hanging="310"/>
      </w:pPr>
    </w:lvl>
    <w:lvl w:ilvl="6">
      <w:numFmt w:val="bullet"/>
      <w:lvlText w:val="•"/>
      <w:lvlJc w:val="left"/>
      <w:pPr>
        <w:ind w:left="7112" w:hanging="310"/>
      </w:pPr>
    </w:lvl>
    <w:lvl w:ilvl="7">
      <w:numFmt w:val="bullet"/>
      <w:lvlText w:val="•"/>
      <w:lvlJc w:val="left"/>
      <w:pPr>
        <w:ind w:left="8214" w:hanging="310"/>
      </w:pPr>
    </w:lvl>
    <w:lvl w:ilvl="8">
      <w:numFmt w:val="bullet"/>
      <w:lvlText w:val="•"/>
      <w:lvlJc w:val="left"/>
      <w:pPr>
        <w:ind w:left="9316" w:hanging="310"/>
      </w:pPr>
    </w:lvl>
  </w:abstractNum>
  <w:abstractNum w:abstractNumId="4" w15:restartNumberingAfterBreak="0">
    <w:nsid w:val="1DDB086E"/>
    <w:multiLevelType w:val="multilevel"/>
    <w:tmpl w:val="1F6A9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390BB8"/>
    <w:multiLevelType w:val="hybridMultilevel"/>
    <w:tmpl w:val="FFFFFFFF"/>
    <w:lvl w:ilvl="0" w:tplc="356E4E6A">
      <w:start w:val="1"/>
      <w:numFmt w:val="decimal"/>
      <w:lvlText w:val="%1."/>
      <w:lvlJc w:val="left"/>
      <w:pPr>
        <w:ind w:left="720" w:hanging="360"/>
      </w:pPr>
    </w:lvl>
    <w:lvl w:ilvl="1" w:tplc="A41C6388">
      <w:start w:val="1"/>
      <w:numFmt w:val="lowerLetter"/>
      <w:lvlText w:val="%2."/>
      <w:lvlJc w:val="left"/>
      <w:pPr>
        <w:ind w:left="1440" w:hanging="360"/>
      </w:pPr>
    </w:lvl>
    <w:lvl w:ilvl="2" w:tplc="F2289C86">
      <w:start w:val="1"/>
      <w:numFmt w:val="lowerRoman"/>
      <w:lvlText w:val="%3."/>
      <w:lvlJc w:val="right"/>
      <w:pPr>
        <w:ind w:left="2160" w:hanging="180"/>
      </w:pPr>
    </w:lvl>
    <w:lvl w:ilvl="3" w:tplc="4A10A830">
      <w:start w:val="1"/>
      <w:numFmt w:val="decimal"/>
      <w:lvlText w:val="%4."/>
      <w:lvlJc w:val="left"/>
      <w:pPr>
        <w:ind w:left="2880" w:hanging="360"/>
      </w:pPr>
    </w:lvl>
    <w:lvl w:ilvl="4" w:tplc="E6944DDE">
      <w:start w:val="1"/>
      <w:numFmt w:val="lowerLetter"/>
      <w:lvlText w:val="%5."/>
      <w:lvlJc w:val="left"/>
      <w:pPr>
        <w:ind w:left="3600" w:hanging="360"/>
      </w:pPr>
    </w:lvl>
    <w:lvl w:ilvl="5" w:tplc="D7AC8474">
      <w:start w:val="1"/>
      <w:numFmt w:val="lowerRoman"/>
      <w:lvlText w:val="%6."/>
      <w:lvlJc w:val="right"/>
      <w:pPr>
        <w:ind w:left="4320" w:hanging="180"/>
      </w:pPr>
    </w:lvl>
    <w:lvl w:ilvl="6" w:tplc="E70C366A">
      <w:start w:val="1"/>
      <w:numFmt w:val="decimal"/>
      <w:lvlText w:val="%7."/>
      <w:lvlJc w:val="left"/>
      <w:pPr>
        <w:ind w:left="5040" w:hanging="360"/>
      </w:pPr>
    </w:lvl>
    <w:lvl w:ilvl="7" w:tplc="EE76D89A">
      <w:start w:val="1"/>
      <w:numFmt w:val="lowerLetter"/>
      <w:lvlText w:val="%8."/>
      <w:lvlJc w:val="left"/>
      <w:pPr>
        <w:ind w:left="5760" w:hanging="360"/>
      </w:pPr>
    </w:lvl>
    <w:lvl w:ilvl="8" w:tplc="19F8C432">
      <w:start w:val="1"/>
      <w:numFmt w:val="lowerRoman"/>
      <w:lvlText w:val="%9."/>
      <w:lvlJc w:val="right"/>
      <w:pPr>
        <w:ind w:left="6480" w:hanging="180"/>
      </w:pPr>
    </w:lvl>
  </w:abstractNum>
  <w:abstractNum w:abstractNumId="6" w15:restartNumberingAfterBreak="0">
    <w:nsid w:val="2F760752"/>
    <w:multiLevelType w:val="multilevel"/>
    <w:tmpl w:val="1E424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C87B2D"/>
    <w:multiLevelType w:val="multilevel"/>
    <w:tmpl w:val="FA624E9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F1304D8"/>
    <w:multiLevelType w:val="multilevel"/>
    <w:tmpl w:val="E9667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471534"/>
    <w:multiLevelType w:val="multilevel"/>
    <w:tmpl w:val="48D45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59915395">
    <w:abstractNumId w:val="5"/>
  </w:num>
  <w:num w:numId="2" w16cid:durableId="256209250">
    <w:abstractNumId w:val="7"/>
  </w:num>
  <w:num w:numId="3" w16cid:durableId="1920940262">
    <w:abstractNumId w:val="3"/>
  </w:num>
  <w:num w:numId="4" w16cid:durableId="901452664">
    <w:abstractNumId w:val="1"/>
  </w:num>
  <w:num w:numId="5" w16cid:durableId="2093315904">
    <w:abstractNumId w:val="0"/>
  </w:num>
  <w:num w:numId="6" w16cid:durableId="1995793483">
    <w:abstractNumId w:val="2"/>
  </w:num>
  <w:num w:numId="7" w16cid:durableId="1162895841">
    <w:abstractNumId w:val="4"/>
  </w:num>
  <w:num w:numId="8" w16cid:durableId="1320310731">
    <w:abstractNumId w:val="9"/>
  </w:num>
  <w:num w:numId="9" w16cid:durableId="1285500454">
    <w:abstractNumId w:val="8"/>
  </w:num>
  <w:num w:numId="10" w16cid:durableId="155080455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980"/>
    <w:rsid w:val="00003D24"/>
    <w:rsid w:val="00004F03"/>
    <w:rsid w:val="00006F83"/>
    <w:rsid w:val="00007F07"/>
    <w:rsid w:val="00010BDF"/>
    <w:rsid w:val="00013C42"/>
    <w:rsid w:val="00014D67"/>
    <w:rsid w:val="00016A94"/>
    <w:rsid w:val="00021FCC"/>
    <w:rsid w:val="00024F34"/>
    <w:rsid w:val="0002546A"/>
    <w:rsid w:val="00032CBF"/>
    <w:rsid w:val="00033AAC"/>
    <w:rsid w:val="0004205E"/>
    <w:rsid w:val="00047A6E"/>
    <w:rsid w:val="00050524"/>
    <w:rsid w:val="00063DE4"/>
    <w:rsid w:val="000640FD"/>
    <w:rsid w:val="00066463"/>
    <w:rsid w:val="0007636F"/>
    <w:rsid w:val="0008113E"/>
    <w:rsid w:val="00081C06"/>
    <w:rsid w:val="00081CEE"/>
    <w:rsid w:val="00082817"/>
    <w:rsid w:val="00084B49"/>
    <w:rsid w:val="000863A1"/>
    <w:rsid w:val="00086B16"/>
    <w:rsid w:val="00092C0A"/>
    <w:rsid w:val="00094D9F"/>
    <w:rsid w:val="000A35DA"/>
    <w:rsid w:val="000A3E34"/>
    <w:rsid w:val="000B30A6"/>
    <w:rsid w:val="000B39C5"/>
    <w:rsid w:val="000B50F1"/>
    <w:rsid w:val="000B783B"/>
    <w:rsid w:val="000B7969"/>
    <w:rsid w:val="000C41BE"/>
    <w:rsid w:val="000C614C"/>
    <w:rsid w:val="000C6C52"/>
    <w:rsid w:val="000D1904"/>
    <w:rsid w:val="000D2DA8"/>
    <w:rsid w:val="000D2FEE"/>
    <w:rsid w:val="000D512E"/>
    <w:rsid w:val="000D656A"/>
    <w:rsid w:val="000E0152"/>
    <w:rsid w:val="000E370D"/>
    <w:rsid w:val="000E65A4"/>
    <w:rsid w:val="00100C4C"/>
    <w:rsid w:val="00105533"/>
    <w:rsid w:val="001072FB"/>
    <w:rsid w:val="00110371"/>
    <w:rsid w:val="00112489"/>
    <w:rsid w:val="00113D59"/>
    <w:rsid w:val="00116659"/>
    <w:rsid w:val="001175AA"/>
    <w:rsid w:val="001228B9"/>
    <w:rsid w:val="00123946"/>
    <w:rsid w:val="00125A3A"/>
    <w:rsid w:val="00126916"/>
    <w:rsid w:val="00126980"/>
    <w:rsid w:val="0013017F"/>
    <w:rsid w:val="001303DD"/>
    <w:rsid w:val="001348DA"/>
    <w:rsid w:val="001365B5"/>
    <w:rsid w:val="00136CD0"/>
    <w:rsid w:val="0013737F"/>
    <w:rsid w:val="00142BF2"/>
    <w:rsid w:val="001447C1"/>
    <w:rsid w:val="00145BCA"/>
    <w:rsid w:val="0015216F"/>
    <w:rsid w:val="00153523"/>
    <w:rsid w:val="001536BF"/>
    <w:rsid w:val="0015422A"/>
    <w:rsid w:val="001558F7"/>
    <w:rsid w:val="00155D84"/>
    <w:rsid w:val="00157729"/>
    <w:rsid w:val="00164587"/>
    <w:rsid w:val="001665A3"/>
    <w:rsid w:val="001743EF"/>
    <w:rsid w:val="00174A31"/>
    <w:rsid w:val="00177232"/>
    <w:rsid w:val="00181CF4"/>
    <w:rsid w:val="00187186"/>
    <w:rsid w:val="00196F7C"/>
    <w:rsid w:val="001978EB"/>
    <w:rsid w:val="001A1E25"/>
    <w:rsid w:val="001A2AF1"/>
    <w:rsid w:val="001B0F0C"/>
    <w:rsid w:val="001C013E"/>
    <w:rsid w:val="001C6719"/>
    <w:rsid w:val="001D1743"/>
    <w:rsid w:val="001D17CF"/>
    <w:rsid w:val="001D3E20"/>
    <w:rsid w:val="001D65E1"/>
    <w:rsid w:val="001E2543"/>
    <w:rsid w:val="001E6C60"/>
    <w:rsid w:val="001E772C"/>
    <w:rsid w:val="001F238A"/>
    <w:rsid w:val="0021064F"/>
    <w:rsid w:val="002171A2"/>
    <w:rsid w:val="002217D1"/>
    <w:rsid w:val="002254A6"/>
    <w:rsid w:val="002264B8"/>
    <w:rsid w:val="00235361"/>
    <w:rsid w:val="00236F62"/>
    <w:rsid w:val="00237D76"/>
    <w:rsid w:val="002450EA"/>
    <w:rsid w:val="00245A96"/>
    <w:rsid w:val="00251FCE"/>
    <w:rsid w:val="00252F13"/>
    <w:rsid w:val="00254313"/>
    <w:rsid w:val="00257049"/>
    <w:rsid w:val="0026513E"/>
    <w:rsid w:val="002729A5"/>
    <w:rsid w:val="00281025"/>
    <w:rsid w:val="002821A2"/>
    <w:rsid w:val="002862C1"/>
    <w:rsid w:val="00286449"/>
    <w:rsid w:val="00287EC3"/>
    <w:rsid w:val="00293F29"/>
    <w:rsid w:val="002941D1"/>
    <w:rsid w:val="002A2A12"/>
    <w:rsid w:val="002A6CF5"/>
    <w:rsid w:val="002C05D0"/>
    <w:rsid w:val="002C6429"/>
    <w:rsid w:val="002D096D"/>
    <w:rsid w:val="002D11FE"/>
    <w:rsid w:val="002D138E"/>
    <w:rsid w:val="002D2CB2"/>
    <w:rsid w:val="002D35EC"/>
    <w:rsid w:val="002D3FE3"/>
    <w:rsid w:val="002D5E8B"/>
    <w:rsid w:val="002E4A97"/>
    <w:rsid w:val="002E71C4"/>
    <w:rsid w:val="002F226A"/>
    <w:rsid w:val="002F4444"/>
    <w:rsid w:val="00301DC2"/>
    <w:rsid w:val="003227FD"/>
    <w:rsid w:val="00325A55"/>
    <w:rsid w:val="003343DB"/>
    <w:rsid w:val="00336655"/>
    <w:rsid w:val="00342B3C"/>
    <w:rsid w:val="00346554"/>
    <w:rsid w:val="003503EB"/>
    <w:rsid w:val="00350767"/>
    <w:rsid w:val="00350E4B"/>
    <w:rsid w:val="003533A1"/>
    <w:rsid w:val="00357C6F"/>
    <w:rsid w:val="003651DE"/>
    <w:rsid w:val="00367CB8"/>
    <w:rsid w:val="003711C0"/>
    <w:rsid w:val="00373197"/>
    <w:rsid w:val="0037465C"/>
    <w:rsid w:val="00382B52"/>
    <w:rsid w:val="0038390A"/>
    <w:rsid w:val="003858A2"/>
    <w:rsid w:val="00387838"/>
    <w:rsid w:val="003A0BBF"/>
    <w:rsid w:val="003A358A"/>
    <w:rsid w:val="003A3C08"/>
    <w:rsid w:val="003A6449"/>
    <w:rsid w:val="003A73D2"/>
    <w:rsid w:val="003B128B"/>
    <w:rsid w:val="003B3F46"/>
    <w:rsid w:val="003B4DDE"/>
    <w:rsid w:val="003B625C"/>
    <w:rsid w:val="003C0C28"/>
    <w:rsid w:val="003C0F32"/>
    <w:rsid w:val="003C4567"/>
    <w:rsid w:val="003C6CAC"/>
    <w:rsid w:val="003CBECC"/>
    <w:rsid w:val="003D2B7C"/>
    <w:rsid w:val="003D3516"/>
    <w:rsid w:val="003E1394"/>
    <w:rsid w:val="003E582F"/>
    <w:rsid w:val="00401B59"/>
    <w:rsid w:val="00405CE5"/>
    <w:rsid w:val="0041114C"/>
    <w:rsid w:val="0041604F"/>
    <w:rsid w:val="00427DD9"/>
    <w:rsid w:val="004317DB"/>
    <w:rsid w:val="00431BB6"/>
    <w:rsid w:val="00432C5C"/>
    <w:rsid w:val="00437C19"/>
    <w:rsid w:val="00461D1F"/>
    <w:rsid w:val="00470148"/>
    <w:rsid w:val="00470526"/>
    <w:rsid w:val="0047762B"/>
    <w:rsid w:val="004848A4"/>
    <w:rsid w:val="00496BDC"/>
    <w:rsid w:val="00496F85"/>
    <w:rsid w:val="004A0755"/>
    <w:rsid w:val="004A6BE3"/>
    <w:rsid w:val="004B078F"/>
    <w:rsid w:val="004C4371"/>
    <w:rsid w:val="004C7D38"/>
    <w:rsid w:val="004D0D86"/>
    <w:rsid w:val="004D10C6"/>
    <w:rsid w:val="004D2643"/>
    <w:rsid w:val="004D294E"/>
    <w:rsid w:val="004D3D03"/>
    <w:rsid w:val="004D4273"/>
    <w:rsid w:val="004D4586"/>
    <w:rsid w:val="004D6329"/>
    <w:rsid w:val="004D6AFE"/>
    <w:rsid w:val="004E034B"/>
    <w:rsid w:val="004E17FC"/>
    <w:rsid w:val="004E274E"/>
    <w:rsid w:val="004E517F"/>
    <w:rsid w:val="004F778E"/>
    <w:rsid w:val="004F7A38"/>
    <w:rsid w:val="0050148F"/>
    <w:rsid w:val="00501EEF"/>
    <w:rsid w:val="00502F91"/>
    <w:rsid w:val="0051131A"/>
    <w:rsid w:val="0051476A"/>
    <w:rsid w:val="00515441"/>
    <w:rsid w:val="00520AAA"/>
    <w:rsid w:val="00520B2A"/>
    <w:rsid w:val="005338E4"/>
    <w:rsid w:val="0054286C"/>
    <w:rsid w:val="00543E5A"/>
    <w:rsid w:val="00545A32"/>
    <w:rsid w:val="0054638A"/>
    <w:rsid w:val="0054645F"/>
    <w:rsid w:val="005616ED"/>
    <w:rsid w:val="005629D0"/>
    <w:rsid w:val="00564A4E"/>
    <w:rsid w:val="005815B6"/>
    <w:rsid w:val="00584E85"/>
    <w:rsid w:val="005871DA"/>
    <w:rsid w:val="00587695"/>
    <w:rsid w:val="0059054D"/>
    <w:rsid w:val="0059316B"/>
    <w:rsid w:val="005949A8"/>
    <w:rsid w:val="005A077D"/>
    <w:rsid w:val="005A4320"/>
    <w:rsid w:val="005A498D"/>
    <w:rsid w:val="005A4E26"/>
    <w:rsid w:val="005A4F38"/>
    <w:rsid w:val="005B25BE"/>
    <w:rsid w:val="005C19CA"/>
    <w:rsid w:val="005C1CEE"/>
    <w:rsid w:val="005C3F3E"/>
    <w:rsid w:val="005C4522"/>
    <w:rsid w:val="005D49BF"/>
    <w:rsid w:val="005F30C3"/>
    <w:rsid w:val="005F7863"/>
    <w:rsid w:val="0060353B"/>
    <w:rsid w:val="00614A4B"/>
    <w:rsid w:val="00620876"/>
    <w:rsid w:val="00621BEF"/>
    <w:rsid w:val="00624FD0"/>
    <w:rsid w:val="00630C5E"/>
    <w:rsid w:val="006315B4"/>
    <w:rsid w:val="00635AC3"/>
    <w:rsid w:val="00636FFB"/>
    <w:rsid w:val="00654CCF"/>
    <w:rsid w:val="00665F82"/>
    <w:rsid w:val="0067186C"/>
    <w:rsid w:val="00671E11"/>
    <w:rsid w:val="006779DA"/>
    <w:rsid w:val="00687EB3"/>
    <w:rsid w:val="00692980"/>
    <w:rsid w:val="00693246"/>
    <w:rsid w:val="0069506F"/>
    <w:rsid w:val="00696582"/>
    <w:rsid w:val="006A1DBB"/>
    <w:rsid w:val="006A46B8"/>
    <w:rsid w:val="006B4753"/>
    <w:rsid w:val="006B4E40"/>
    <w:rsid w:val="006C103A"/>
    <w:rsid w:val="006C4E6A"/>
    <w:rsid w:val="006C50E8"/>
    <w:rsid w:val="006D464D"/>
    <w:rsid w:val="006D61C8"/>
    <w:rsid w:val="006E6F11"/>
    <w:rsid w:val="006F0B6B"/>
    <w:rsid w:val="006F144D"/>
    <w:rsid w:val="006F461B"/>
    <w:rsid w:val="006F5011"/>
    <w:rsid w:val="006F622C"/>
    <w:rsid w:val="006F6707"/>
    <w:rsid w:val="00700FF6"/>
    <w:rsid w:val="007022AA"/>
    <w:rsid w:val="00703B55"/>
    <w:rsid w:val="00704D44"/>
    <w:rsid w:val="00715A68"/>
    <w:rsid w:val="00715DD5"/>
    <w:rsid w:val="00715ECF"/>
    <w:rsid w:val="00717A04"/>
    <w:rsid w:val="00717BFE"/>
    <w:rsid w:val="007208C5"/>
    <w:rsid w:val="00725BB4"/>
    <w:rsid w:val="0073180A"/>
    <w:rsid w:val="00732997"/>
    <w:rsid w:val="007336C3"/>
    <w:rsid w:val="00734157"/>
    <w:rsid w:val="00735033"/>
    <w:rsid w:val="00756485"/>
    <w:rsid w:val="0075705D"/>
    <w:rsid w:val="00760B0B"/>
    <w:rsid w:val="007626E1"/>
    <w:rsid w:val="00767F65"/>
    <w:rsid w:val="00770D6C"/>
    <w:rsid w:val="0077989D"/>
    <w:rsid w:val="00783515"/>
    <w:rsid w:val="007848E1"/>
    <w:rsid w:val="00787C94"/>
    <w:rsid w:val="00791BCB"/>
    <w:rsid w:val="007921BD"/>
    <w:rsid w:val="00792A92"/>
    <w:rsid w:val="00793A02"/>
    <w:rsid w:val="00795C6B"/>
    <w:rsid w:val="007A1566"/>
    <w:rsid w:val="007A3995"/>
    <w:rsid w:val="007A5AC5"/>
    <w:rsid w:val="007B622D"/>
    <w:rsid w:val="007C4288"/>
    <w:rsid w:val="007C484E"/>
    <w:rsid w:val="007C628F"/>
    <w:rsid w:val="007C7B39"/>
    <w:rsid w:val="007D1EA1"/>
    <w:rsid w:val="007D4853"/>
    <w:rsid w:val="007D57C4"/>
    <w:rsid w:val="007E0429"/>
    <w:rsid w:val="007E41DE"/>
    <w:rsid w:val="007E4CE3"/>
    <w:rsid w:val="007F2B1F"/>
    <w:rsid w:val="00802F7A"/>
    <w:rsid w:val="00806A1C"/>
    <w:rsid w:val="0080773A"/>
    <w:rsid w:val="008173F3"/>
    <w:rsid w:val="0082117C"/>
    <w:rsid w:val="008227E9"/>
    <w:rsid w:val="008252C5"/>
    <w:rsid w:val="00831860"/>
    <w:rsid w:val="00832F2D"/>
    <w:rsid w:val="00835AFB"/>
    <w:rsid w:val="00836C6A"/>
    <w:rsid w:val="00841C9F"/>
    <w:rsid w:val="0084294E"/>
    <w:rsid w:val="00843EFF"/>
    <w:rsid w:val="008442A5"/>
    <w:rsid w:val="008477A9"/>
    <w:rsid w:val="00850569"/>
    <w:rsid w:val="0085416A"/>
    <w:rsid w:val="00856B0F"/>
    <w:rsid w:val="0086691B"/>
    <w:rsid w:val="0087186A"/>
    <w:rsid w:val="00872C56"/>
    <w:rsid w:val="00874F67"/>
    <w:rsid w:val="0087670D"/>
    <w:rsid w:val="00876AC2"/>
    <w:rsid w:val="00880A1A"/>
    <w:rsid w:val="00883F43"/>
    <w:rsid w:val="00884C98"/>
    <w:rsid w:val="00884CE2"/>
    <w:rsid w:val="00885CA2"/>
    <w:rsid w:val="00885E7D"/>
    <w:rsid w:val="0089363F"/>
    <w:rsid w:val="00893FBF"/>
    <w:rsid w:val="00894D05"/>
    <w:rsid w:val="00896ED8"/>
    <w:rsid w:val="008A209D"/>
    <w:rsid w:val="008A2436"/>
    <w:rsid w:val="008A4E8C"/>
    <w:rsid w:val="008A563D"/>
    <w:rsid w:val="008A7359"/>
    <w:rsid w:val="008B3B0A"/>
    <w:rsid w:val="008C2BA0"/>
    <w:rsid w:val="008C69F2"/>
    <w:rsid w:val="008C7819"/>
    <w:rsid w:val="008D1D44"/>
    <w:rsid w:val="008D3E6C"/>
    <w:rsid w:val="008D55D1"/>
    <w:rsid w:val="008E04EC"/>
    <w:rsid w:val="008E2E37"/>
    <w:rsid w:val="008E43F4"/>
    <w:rsid w:val="008E65C5"/>
    <w:rsid w:val="008F1DE8"/>
    <w:rsid w:val="008F42F6"/>
    <w:rsid w:val="008F5282"/>
    <w:rsid w:val="00912BAC"/>
    <w:rsid w:val="00915D33"/>
    <w:rsid w:val="00925058"/>
    <w:rsid w:val="009267A7"/>
    <w:rsid w:val="00926CDB"/>
    <w:rsid w:val="00930113"/>
    <w:rsid w:val="009351B3"/>
    <w:rsid w:val="009356EC"/>
    <w:rsid w:val="00935A5F"/>
    <w:rsid w:val="00937FB2"/>
    <w:rsid w:val="0094114F"/>
    <w:rsid w:val="00945B46"/>
    <w:rsid w:val="0095690D"/>
    <w:rsid w:val="009609C5"/>
    <w:rsid w:val="00965B1A"/>
    <w:rsid w:val="00971B57"/>
    <w:rsid w:val="00976933"/>
    <w:rsid w:val="00981893"/>
    <w:rsid w:val="00984974"/>
    <w:rsid w:val="00986438"/>
    <w:rsid w:val="00987DBF"/>
    <w:rsid w:val="009970F9"/>
    <w:rsid w:val="009A1787"/>
    <w:rsid w:val="009A50B7"/>
    <w:rsid w:val="009A50E6"/>
    <w:rsid w:val="009A5590"/>
    <w:rsid w:val="009C3837"/>
    <w:rsid w:val="009C44BD"/>
    <w:rsid w:val="009C537F"/>
    <w:rsid w:val="009D0585"/>
    <w:rsid w:val="009D2BB3"/>
    <w:rsid w:val="009E0846"/>
    <w:rsid w:val="009E1EF4"/>
    <w:rsid w:val="009E1F32"/>
    <w:rsid w:val="009E4BD5"/>
    <w:rsid w:val="009F1BE0"/>
    <w:rsid w:val="009F7CED"/>
    <w:rsid w:val="00A0448B"/>
    <w:rsid w:val="00A04569"/>
    <w:rsid w:val="00A0736A"/>
    <w:rsid w:val="00A07DE7"/>
    <w:rsid w:val="00A10AAA"/>
    <w:rsid w:val="00A120D6"/>
    <w:rsid w:val="00A1301A"/>
    <w:rsid w:val="00A14C37"/>
    <w:rsid w:val="00A15446"/>
    <w:rsid w:val="00A161B9"/>
    <w:rsid w:val="00A219D7"/>
    <w:rsid w:val="00A249A8"/>
    <w:rsid w:val="00A2785C"/>
    <w:rsid w:val="00A33DCF"/>
    <w:rsid w:val="00A377FE"/>
    <w:rsid w:val="00A4128C"/>
    <w:rsid w:val="00A41AEF"/>
    <w:rsid w:val="00A447B3"/>
    <w:rsid w:val="00A500DD"/>
    <w:rsid w:val="00A52C3F"/>
    <w:rsid w:val="00A55DB6"/>
    <w:rsid w:val="00A61784"/>
    <w:rsid w:val="00A61B8C"/>
    <w:rsid w:val="00A62120"/>
    <w:rsid w:val="00A630E3"/>
    <w:rsid w:val="00A64120"/>
    <w:rsid w:val="00A67295"/>
    <w:rsid w:val="00A725B0"/>
    <w:rsid w:val="00A72973"/>
    <w:rsid w:val="00A74AFD"/>
    <w:rsid w:val="00A80613"/>
    <w:rsid w:val="00A83A98"/>
    <w:rsid w:val="00A8546D"/>
    <w:rsid w:val="00A85AEA"/>
    <w:rsid w:val="00A93334"/>
    <w:rsid w:val="00A94019"/>
    <w:rsid w:val="00AA278A"/>
    <w:rsid w:val="00AA28E8"/>
    <w:rsid w:val="00AB0708"/>
    <w:rsid w:val="00AB07E6"/>
    <w:rsid w:val="00AB0C45"/>
    <w:rsid w:val="00AB6652"/>
    <w:rsid w:val="00AC1AF8"/>
    <w:rsid w:val="00AC447D"/>
    <w:rsid w:val="00AC51D5"/>
    <w:rsid w:val="00AD3B6C"/>
    <w:rsid w:val="00AD5446"/>
    <w:rsid w:val="00AD623F"/>
    <w:rsid w:val="00AE03F3"/>
    <w:rsid w:val="00AE55B0"/>
    <w:rsid w:val="00AE6663"/>
    <w:rsid w:val="00AF47D4"/>
    <w:rsid w:val="00AF5869"/>
    <w:rsid w:val="00AF5E71"/>
    <w:rsid w:val="00B13AE3"/>
    <w:rsid w:val="00B17CC6"/>
    <w:rsid w:val="00B25550"/>
    <w:rsid w:val="00B30DCD"/>
    <w:rsid w:val="00B34C62"/>
    <w:rsid w:val="00B377D3"/>
    <w:rsid w:val="00B4178F"/>
    <w:rsid w:val="00B4216E"/>
    <w:rsid w:val="00B4337A"/>
    <w:rsid w:val="00B448DC"/>
    <w:rsid w:val="00B463AC"/>
    <w:rsid w:val="00B47AE5"/>
    <w:rsid w:val="00B51095"/>
    <w:rsid w:val="00B574A9"/>
    <w:rsid w:val="00B6123C"/>
    <w:rsid w:val="00B61CA6"/>
    <w:rsid w:val="00B65F1B"/>
    <w:rsid w:val="00B66D03"/>
    <w:rsid w:val="00B7000F"/>
    <w:rsid w:val="00B729FC"/>
    <w:rsid w:val="00B73EC6"/>
    <w:rsid w:val="00B766E4"/>
    <w:rsid w:val="00B80E2A"/>
    <w:rsid w:val="00B8326D"/>
    <w:rsid w:val="00B84AF8"/>
    <w:rsid w:val="00B86DCA"/>
    <w:rsid w:val="00B937B6"/>
    <w:rsid w:val="00B94273"/>
    <w:rsid w:val="00BA450F"/>
    <w:rsid w:val="00BB1608"/>
    <w:rsid w:val="00BB545F"/>
    <w:rsid w:val="00BD4B65"/>
    <w:rsid w:val="00BE280C"/>
    <w:rsid w:val="00BE33F6"/>
    <w:rsid w:val="00BF054E"/>
    <w:rsid w:val="00BF0DB9"/>
    <w:rsid w:val="00C12B93"/>
    <w:rsid w:val="00C134C3"/>
    <w:rsid w:val="00C23E64"/>
    <w:rsid w:val="00C26C14"/>
    <w:rsid w:val="00C27D76"/>
    <w:rsid w:val="00C310FC"/>
    <w:rsid w:val="00C31D59"/>
    <w:rsid w:val="00C3493C"/>
    <w:rsid w:val="00C36892"/>
    <w:rsid w:val="00C4009A"/>
    <w:rsid w:val="00C401C2"/>
    <w:rsid w:val="00C43FCC"/>
    <w:rsid w:val="00C46330"/>
    <w:rsid w:val="00C47F73"/>
    <w:rsid w:val="00C52E86"/>
    <w:rsid w:val="00C6077B"/>
    <w:rsid w:val="00C61441"/>
    <w:rsid w:val="00C7294E"/>
    <w:rsid w:val="00C91F90"/>
    <w:rsid w:val="00CA57DF"/>
    <w:rsid w:val="00CB0063"/>
    <w:rsid w:val="00CB4D37"/>
    <w:rsid w:val="00CB66F7"/>
    <w:rsid w:val="00CB6998"/>
    <w:rsid w:val="00CC0C62"/>
    <w:rsid w:val="00CC259C"/>
    <w:rsid w:val="00CC42D1"/>
    <w:rsid w:val="00CC5B3E"/>
    <w:rsid w:val="00CE1A87"/>
    <w:rsid w:val="00CE5AB3"/>
    <w:rsid w:val="00CF25EF"/>
    <w:rsid w:val="00D000D8"/>
    <w:rsid w:val="00D04A96"/>
    <w:rsid w:val="00D05B67"/>
    <w:rsid w:val="00D05D52"/>
    <w:rsid w:val="00D24980"/>
    <w:rsid w:val="00D26D53"/>
    <w:rsid w:val="00D31F43"/>
    <w:rsid w:val="00D40E59"/>
    <w:rsid w:val="00D415E6"/>
    <w:rsid w:val="00D444C5"/>
    <w:rsid w:val="00D467F5"/>
    <w:rsid w:val="00D530DC"/>
    <w:rsid w:val="00D56B9D"/>
    <w:rsid w:val="00D62023"/>
    <w:rsid w:val="00D7070F"/>
    <w:rsid w:val="00D709DD"/>
    <w:rsid w:val="00D80F8D"/>
    <w:rsid w:val="00D81F9F"/>
    <w:rsid w:val="00D8294A"/>
    <w:rsid w:val="00D82FA2"/>
    <w:rsid w:val="00D83F98"/>
    <w:rsid w:val="00D84A75"/>
    <w:rsid w:val="00D85F90"/>
    <w:rsid w:val="00D90649"/>
    <w:rsid w:val="00D91E89"/>
    <w:rsid w:val="00D9213D"/>
    <w:rsid w:val="00D965B1"/>
    <w:rsid w:val="00D97DF9"/>
    <w:rsid w:val="00DA6526"/>
    <w:rsid w:val="00DA6C54"/>
    <w:rsid w:val="00DC54A3"/>
    <w:rsid w:val="00DC5FA9"/>
    <w:rsid w:val="00DC7455"/>
    <w:rsid w:val="00DD181C"/>
    <w:rsid w:val="00DD1829"/>
    <w:rsid w:val="00DD2F2C"/>
    <w:rsid w:val="00DD48D9"/>
    <w:rsid w:val="00DE1540"/>
    <w:rsid w:val="00DE3152"/>
    <w:rsid w:val="00DE4008"/>
    <w:rsid w:val="00DE520C"/>
    <w:rsid w:val="00DE654D"/>
    <w:rsid w:val="00DF1E66"/>
    <w:rsid w:val="00DF60FD"/>
    <w:rsid w:val="00DF6410"/>
    <w:rsid w:val="00E007F7"/>
    <w:rsid w:val="00E00B26"/>
    <w:rsid w:val="00E05F18"/>
    <w:rsid w:val="00E06A27"/>
    <w:rsid w:val="00E12202"/>
    <w:rsid w:val="00E137F3"/>
    <w:rsid w:val="00E242C5"/>
    <w:rsid w:val="00E24673"/>
    <w:rsid w:val="00E24F26"/>
    <w:rsid w:val="00E261B4"/>
    <w:rsid w:val="00E31E85"/>
    <w:rsid w:val="00E407FF"/>
    <w:rsid w:val="00E40C34"/>
    <w:rsid w:val="00E41E2C"/>
    <w:rsid w:val="00E44207"/>
    <w:rsid w:val="00E55C50"/>
    <w:rsid w:val="00E66C57"/>
    <w:rsid w:val="00E66D00"/>
    <w:rsid w:val="00E7224C"/>
    <w:rsid w:val="00E72694"/>
    <w:rsid w:val="00E729F2"/>
    <w:rsid w:val="00E73DA2"/>
    <w:rsid w:val="00E75DBD"/>
    <w:rsid w:val="00E805D3"/>
    <w:rsid w:val="00E80826"/>
    <w:rsid w:val="00E84DA1"/>
    <w:rsid w:val="00E91332"/>
    <w:rsid w:val="00E97671"/>
    <w:rsid w:val="00EA3045"/>
    <w:rsid w:val="00EA3808"/>
    <w:rsid w:val="00EA65E0"/>
    <w:rsid w:val="00EC1DE8"/>
    <w:rsid w:val="00EC35AE"/>
    <w:rsid w:val="00ED4708"/>
    <w:rsid w:val="00EE0D69"/>
    <w:rsid w:val="00EE0F26"/>
    <w:rsid w:val="00EE2ABB"/>
    <w:rsid w:val="00EE3354"/>
    <w:rsid w:val="00EE5CD4"/>
    <w:rsid w:val="00EF192B"/>
    <w:rsid w:val="00F00ABB"/>
    <w:rsid w:val="00F06B8A"/>
    <w:rsid w:val="00F07A7D"/>
    <w:rsid w:val="00F10D8E"/>
    <w:rsid w:val="00F153C1"/>
    <w:rsid w:val="00F16839"/>
    <w:rsid w:val="00F211E7"/>
    <w:rsid w:val="00F21D37"/>
    <w:rsid w:val="00F221F0"/>
    <w:rsid w:val="00F23A0E"/>
    <w:rsid w:val="00F26136"/>
    <w:rsid w:val="00F2713B"/>
    <w:rsid w:val="00F2714C"/>
    <w:rsid w:val="00F305D8"/>
    <w:rsid w:val="00F37106"/>
    <w:rsid w:val="00F44A2E"/>
    <w:rsid w:val="00F4765C"/>
    <w:rsid w:val="00F47D57"/>
    <w:rsid w:val="00F55DC4"/>
    <w:rsid w:val="00F56140"/>
    <w:rsid w:val="00F576B3"/>
    <w:rsid w:val="00F722E7"/>
    <w:rsid w:val="00F745E1"/>
    <w:rsid w:val="00F75A79"/>
    <w:rsid w:val="00F7620E"/>
    <w:rsid w:val="00F775AD"/>
    <w:rsid w:val="00F80E07"/>
    <w:rsid w:val="00F90326"/>
    <w:rsid w:val="00F90F86"/>
    <w:rsid w:val="00F92DF0"/>
    <w:rsid w:val="00FA0454"/>
    <w:rsid w:val="00FA4A9E"/>
    <w:rsid w:val="00FB1248"/>
    <w:rsid w:val="00FB217D"/>
    <w:rsid w:val="00FB29CC"/>
    <w:rsid w:val="00FC0522"/>
    <w:rsid w:val="00FC2DE3"/>
    <w:rsid w:val="00FC6381"/>
    <w:rsid w:val="00FD3D04"/>
    <w:rsid w:val="00FD49A0"/>
    <w:rsid w:val="00FE27DE"/>
    <w:rsid w:val="00FF3214"/>
    <w:rsid w:val="00FF66CA"/>
    <w:rsid w:val="0113F36E"/>
    <w:rsid w:val="01B88DC7"/>
    <w:rsid w:val="025E8291"/>
    <w:rsid w:val="02708229"/>
    <w:rsid w:val="02AAA36E"/>
    <w:rsid w:val="0359CC22"/>
    <w:rsid w:val="039F3A4C"/>
    <w:rsid w:val="03B581C6"/>
    <w:rsid w:val="03E45E80"/>
    <w:rsid w:val="04C5EE55"/>
    <w:rsid w:val="054FAA6A"/>
    <w:rsid w:val="06B464E6"/>
    <w:rsid w:val="0743FD92"/>
    <w:rsid w:val="0814731C"/>
    <w:rsid w:val="086CF79C"/>
    <w:rsid w:val="087156FE"/>
    <w:rsid w:val="08F1ABE1"/>
    <w:rsid w:val="08F764AE"/>
    <w:rsid w:val="0A1F11A9"/>
    <w:rsid w:val="0A4B8422"/>
    <w:rsid w:val="0AF2FB67"/>
    <w:rsid w:val="0B4D9AE5"/>
    <w:rsid w:val="0B5736C4"/>
    <w:rsid w:val="0B7AA3E9"/>
    <w:rsid w:val="0B9EEF5E"/>
    <w:rsid w:val="0CED86BD"/>
    <w:rsid w:val="0D75601B"/>
    <w:rsid w:val="0DD1D227"/>
    <w:rsid w:val="0E805E32"/>
    <w:rsid w:val="0EF7B731"/>
    <w:rsid w:val="0F905003"/>
    <w:rsid w:val="0FBC3318"/>
    <w:rsid w:val="101AB11F"/>
    <w:rsid w:val="10F5A0C4"/>
    <w:rsid w:val="1164E3D1"/>
    <w:rsid w:val="11811ABD"/>
    <w:rsid w:val="11A12E34"/>
    <w:rsid w:val="11AE82BB"/>
    <w:rsid w:val="11BC67B9"/>
    <w:rsid w:val="11FC1847"/>
    <w:rsid w:val="12A02116"/>
    <w:rsid w:val="12CB0550"/>
    <w:rsid w:val="1315466C"/>
    <w:rsid w:val="131CCE40"/>
    <w:rsid w:val="135A3188"/>
    <w:rsid w:val="13AD515B"/>
    <w:rsid w:val="14AFADE0"/>
    <w:rsid w:val="14C10E23"/>
    <w:rsid w:val="15274791"/>
    <w:rsid w:val="158DFEDA"/>
    <w:rsid w:val="15A88F6F"/>
    <w:rsid w:val="15EA7711"/>
    <w:rsid w:val="15EB07A9"/>
    <w:rsid w:val="1718DF7B"/>
    <w:rsid w:val="172BBB41"/>
    <w:rsid w:val="17CB3E57"/>
    <w:rsid w:val="188677B1"/>
    <w:rsid w:val="18CD9353"/>
    <w:rsid w:val="1900A429"/>
    <w:rsid w:val="191033DD"/>
    <w:rsid w:val="1926C821"/>
    <w:rsid w:val="199625E2"/>
    <w:rsid w:val="1A80CC3C"/>
    <w:rsid w:val="1B9DC2C1"/>
    <w:rsid w:val="1BD377A8"/>
    <w:rsid w:val="1BDA7CBB"/>
    <w:rsid w:val="1BE2151B"/>
    <w:rsid w:val="1C343DDB"/>
    <w:rsid w:val="1CCCBCED"/>
    <w:rsid w:val="1D2785B8"/>
    <w:rsid w:val="1D50733A"/>
    <w:rsid w:val="1E4E0723"/>
    <w:rsid w:val="1EA64FB7"/>
    <w:rsid w:val="1F18DF9F"/>
    <w:rsid w:val="1F7BE3E7"/>
    <w:rsid w:val="1F879088"/>
    <w:rsid w:val="204A7BD7"/>
    <w:rsid w:val="210804AF"/>
    <w:rsid w:val="2141883F"/>
    <w:rsid w:val="21F120D0"/>
    <w:rsid w:val="21F1340A"/>
    <w:rsid w:val="2243FDB4"/>
    <w:rsid w:val="22BBCE7E"/>
    <w:rsid w:val="236BD1BA"/>
    <w:rsid w:val="2442802B"/>
    <w:rsid w:val="246E719B"/>
    <w:rsid w:val="24D4373E"/>
    <w:rsid w:val="250C3346"/>
    <w:rsid w:val="25307F22"/>
    <w:rsid w:val="2588E544"/>
    <w:rsid w:val="259D0877"/>
    <w:rsid w:val="25CDCDAE"/>
    <w:rsid w:val="26E1FABE"/>
    <w:rsid w:val="28134FD9"/>
    <w:rsid w:val="283AAC90"/>
    <w:rsid w:val="2845623F"/>
    <w:rsid w:val="2849E52C"/>
    <w:rsid w:val="285394BC"/>
    <w:rsid w:val="288F7AB1"/>
    <w:rsid w:val="28E34835"/>
    <w:rsid w:val="297A9AE7"/>
    <w:rsid w:val="29B211F8"/>
    <w:rsid w:val="29B2C15F"/>
    <w:rsid w:val="29F6BF6C"/>
    <w:rsid w:val="2A1C62DA"/>
    <w:rsid w:val="2A2CBCA7"/>
    <w:rsid w:val="2A2FF434"/>
    <w:rsid w:val="2A4E8BE6"/>
    <w:rsid w:val="2B9D4505"/>
    <w:rsid w:val="2C12C7A8"/>
    <w:rsid w:val="2C2D5EA0"/>
    <w:rsid w:val="2CBBF852"/>
    <w:rsid w:val="2CFFAE79"/>
    <w:rsid w:val="2D0F2574"/>
    <w:rsid w:val="2EF2D0BE"/>
    <w:rsid w:val="2F3B86EB"/>
    <w:rsid w:val="30172C5A"/>
    <w:rsid w:val="302C9821"/>
    <w:rsid w:val="31988408"/>
    <w:rsid w:val="320786F5"/>
    <w:rsid w:val="32460942"/>
    <w:rsid w:val="330A0A9F"/>
    <w:rsid w:val="3323F9B8"/>
    <w:rsid w:val="33415EE0"/>
    <w:rsid w:val="339EE445"/>
    <w:rsid w:val="346508AA"/>
    <w:rsid w:val="34DB89CE"/>
    <w:rsid w:val="3531FC58"/>
    <w:rsid w:val="356BCF26"/>
    <w:rsid w:val="35815E52"/>
    <w:rsid w:val="36227BC8"/>
    <w:rsid w:val="3673199F"/>
    <w:rsid w:val="36BA23B5"/>
    <w:rsid w:val="36EC50D2"/>
    <w:rsid w:val="373D91B3"/>
    <w:rsid w:val="3747ACF1"/>
    <w:rsid w:val="3942590D"/>
    <w:rsid w:val="39D4F3CE"/>
    <w:rsid w:val="39EBD93F"/>
    <w:rsid w:val="3A707FED"/>
    <w:rsid w:val="3B831581"/>
    <w:rsid w:val="3B88E0FB"/>
    <w:rsid w:val="3B9C0FD2"/>
    <w:rsid w:val="3B9F1076"/>
    <w:rsid w:val="3C413223"/>
    <w:rsid w:val="3C9B6BD2"/>
    <w:rsid w:val="3F919391"/>
    <w:rsid w:val="3FB8AF3E"/>
    <w:rsid w:val="402B12EC"/>
    <w:rsid w:val="4095ADAA"/>
    <w:rsid w:val="411B1BC5"/>
    <w:rsid w:val="414B317C"/>
    <w:rsid w:val="417CF04F"/>
    <w:rsid w:val="419C4707"/>
    <w:rsid w:val="41B5F54F"/>
    <w:rsid w:val="41D7ED49"/>
    <w:rsid w:val="41DC0646"/>
    <w:rsid w:val="41DF375B"/>
    <w:rsid w:val="427F0E0E"/>
    <w:rsid w:val="42BFF9A3"/>
    <w:rsid w:val="42DE6233"/>
    <w:rsid w:val="43502DB6"/>
    <w:rsid w:val="4404A6AA"/>
    <w:rsid w:val="4428923A"/>
    <w:rsid w:val="445537B1"/>
    <w:rsid w:val="447A1B89"/>
    <w:rsid w:val="4533F17F"/>
    <w:rsid w:val="458768D8"/>
    <w:rsid w:val="461B45BD"/>
    <w:rsid w:val="4623AFA7"/>
    <w:rsid w:val="4626744B"/>
    <w:rsid w:val="46DCBDD5"/>
    <w:rsid w:val="46F2131A"/>
    <w:rsid w:val="471A8AFF"/>
    <w:rsid w:val="478A0496"/>
    <w:rsid w:val="47D2C5AA"/>
    <w:rsid w:val="481FA49C"/>
    <w:rsid w:val="48C3ED55"/>
    <w:rsid w:val="4914F427"/>
    <w:rsid w:val="4967988E"/>
    <w:rsid w:val="499B1B7E"/>
    <w:rsid w:val="49A33AEB"/>
    <w:rsid w:val="49B447A7"/>
    <w:rsid w:val="4AC3132A"/>
    <w:rsid w:val="4B1E990D"/>
    <w:rsid w:val="4B2DB49C"/>
    <w:rsid w:val="4B651AC1"/>
    <w:rsid w:val="4BA413D7"/>
    <w:rsid w:val="4BD90512"/>
    <w:rsid w:val="4BFD5CB6"/>
    <w:rsid w:val="4C57B3DE"/>
    <w:rsid w:val="4C5FB02A"/>
    <w:rsid w:val="4C7FB284"/>
    <w:rsid w:val="4C984A54"/>
    <w:rsid w:val="4CA30EC6"/>
    <w:rsid w:val="4DAEB177"/>
    <w:rsid w:val="4E0BB56B"/>
    <w:rsid w:val="4E1A1FCB"/>
    <w:rsid w:val="4E708CE2"/>
    <w:rsid w:val="4EB34A92"/>
    <w:rsid w:val="4F320538"/>
    <w:rsid w:val="4FAA9D27"/>
    <w:rsid w:val="5036092A"/>
    <w:rsid w:val="509BE1C7"/>
    <w:rsid w:val="5166D4BF"/>
    <w:rsid w:val="51D7FCCD"/>
    <w:rsid w:val="52ECB70E"/>
    <w:rsid w:val="532553C0"/>
    <w:rsid w:val="5352E335"/>
    <w:rsid w:val="538E664E"/>
    <w:rsid w:val="53934135"/>
    <w:rsid w:val="53D89E9B"/>
    <w:rsid w:val="54C0FAC0"/>
    <w:rsid w:val="5544EB5E"/>
    <w:rsid w:val="5570FEE7"/>
    <w:rsid w:val="56033AA0"/>
    <w:rsid w:val="5664A8AC"/>
    <w:rsid w:val="5677E3AE"/>
    <w:rsid w:val="57951E75"/>
    <w:rsid w:val="57AFEC6F"/>
    <w:rsid w:val="57B556C0"/>
    <w:rsid w:val="57BA97B1"/>
    <w:rsid w:val="58296AB4"/>
    <w:rsid w:val="582EAB5D"/>
    <w:rsid w:val="586F3A52"/>
    <w:rsid w:val="58B63F59"/>
    <w:rsid w:val="58E3B901"/>
    <w:rsid w:val="5921EDB8"/>
    <w:rsid w:val="5999B349"/>
    <w:rsid w:val="59C2CE9A"/>
    <w:rsid w:val="59FCD721"/>
    <w:rsid w:val="5A79FB8D"/>
    <w:rsid w:val="5A7DC315"/>
    <w:rsid w:val="5A88B8D0"/>
    <w:rsid w:val="5ABF1F06"/>
    <w:rsid w:val="5B16689D"/>
    <w:rsid w:val="5BA7B36B"/>
    <w:rsid w:val="5BB70C2B"/>
    <w:rsid w:val="5BE17EE5"/>
    <w:rsid w:val="5CC10588"/>
    <w:rsid w:val="5DB4DC23"/>
    <w:rsid w:val="5DE6F00A"/>
    <w:rsid w:val="5DF7794D"/>
    <w:rsid w:val="5E12ED91"/>
    <w:rsid w:val="5E8A5B4A"/>
    <w:rsid w:val="5EFEB25F"/>
    <w:rsid w:val="5F020306"/>
    <w:rsid w:val="5FAA8602"/>
    <w:rsid w:val="60001E0D"/>
    <w:rsid w:val="603EE1E1"/>
    <w:rsid w:val="611E4492"/>
    <w:rsid w:val="617E6429"/>
    <w:rsid w:val="629CA34C"/>
    <w:rsid w:val="62CD02D9"/>
    <w:rsid w:val="63012512"/>
    <w:rsid w:val="633D2289"/>
    <w:rsid w:val="636E8075"/>
    <w:rsid w:val="63951400"/>
    <w:rsid w:val="63BE81D8"/>
    <w:rsid w:val="63C7F579"/>
    <w:rsid w:val="64C6AEDF"/>
    <w:rsid w:val="64D7C5F5"/>
    <w:rsid w:val="64FBB559"/>
    <w:rsid w:val="654665D1"/>
    <w:rsid w:val="665CB370"/>
    <w:rsid w:val="66FE367A"/>
    <w:rsid w:val="672705E1"/>
    <w:rsid w:val="6777E106"/>
    <w:rsid w:val="67D92F05"/>
    <w:rsid w:val="6832C506"/>
    <w:rsid w:val="684B834B"/>
    <w:rsid w:val="69046C70"/>
    <w:rsid w:val="6959F3BF"/>
    <w:rsid w:val="69B8B3F8"/>
    <w:rsid w:val="6A967723"/>
    <w:rsid w:val="6AC9AAA7"/>
    <w:rsid w:val="6B579A24"/>
    <w:rsid w:val="6B6F496A"/>
    <w:rsid w:val="6C7AE8C6"/>
    <w:rsid w:val="6C8A0362"/>
    <w:rsid w:val="6CBBFC5E"/>
    <w:rsid w:val="6D421BFD"/>
    <w:rsid w:val="6DAB2DAC"/>
    <w:rsid w:val="6DCF6126"/>
    <w:rsid w:val="6DD3A9BF"/>
    <w:rsid w:val="6DF51F1D"/>
    <w:rsid w:val="6E213DB1"/>
    <w:rsid w:val="6E33223F"/>
    <w:rsid w:val="6EC80645"/>
    <w:rsid w:val="6F393438"/>
    <w:rsid w:val="6FBC9A94"/>
    <w:rsid w:val="6FECEACA"/>
    <w:rsid w:val="708ACFF7"/>
    <w:rsid w:val="710CC68F"/>
    <w:rsid w:val="7143B062"/>
    <w:rsid w:val="717CF8B8"/>
    <w:rsid w:val="7181233C"/>
    <w:rsid w:val="722F7E63"/>
    <w:rsid w:val="7254AB2E"/>
    <w:rsid w:val="7265119E"/>
    <w:rsid w:val="729C8DE0"/>
    <w:rsid w:val="72B49781"/>
    <w:rsid w:val="73382B33"/>
    <w:rsid w:val="73644FC5"/>
    <w:rsid w:val="739EE179"/>
    <w:rsid w:val="74524975"/>
    <w:rsid w:val="74C0CF77"/>
    <w:rsid w:val="75052D4C"/>
    <w:rsid w:val="75AF9E58"/>
    <w:rsid w:val="75E0A4EE"/>
    <w:rsid w:val="75E99617"/>
    <w:rsid w:val="76234FC6"/>
    <w:rsid w:val="76783F45"/>
    <w:rsid w:val="769F5AEF"/>
    <w:rsid w:val="77275367"/>
    <w:rsid w:val="77FD7DDE"/>
    <w:rsid w:val="780C083B"/>
    <w:rsid w:val="781E3D31"/>
    <w:rsid w:val="782461EC"/>
    <w:rsid w:val="787B5177"/>
    <w:rsid w:val="79D9D5F9"/>
    <w:rsid w:val="7A301863"/>
    <w:rsid w:val="7AC17C48"/>
    <w:rsid w:val="7B39040D"/>
    <w:rsid w:val="7B798B3D"/>
    <w:rsid w:val="7B8AD55F"/>
    <w:rsid w:val="7C211534"/>
    <w:rsid w:val="7C34B78D"/>
    <w:rsid w:val="7C9F7431"/>
    <w:rsid w:val="7CC4070B"/>
    <w:rsid w:val="7D11C60D"/>
    <w:rsid w:val="7D78011B"/>
    <w:rsid w:val="7DE55D99"/>
    <w:rsid w:val="7E05203E"/>
    <w:rsid w:val="7EF76FB7"/>
    <w:rsid w:val="7F2363FA"/>
    <w:rsid w:val="7F39A50F"/>
    <w:rsid w:val="7F5D3E30"/>
    <w:rsid w:val="7F617085"/>
    <w:rsid w:val="7F85CF80"/>
    <w:rsid w:val="7FCAEFC5"/>
    <w:rsid w:val="7FF36AC6"/>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4D853D"/>
  <w15:chartTrackingRefBased/>
  <w15:docId w15:val="{B4CCD12A-60B6-43F3-8449-1F3078400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iPriority="35"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lang w:val="es-ES" w:eastAsia="es-ES"/>
    </w:rPr>
  </w:style>
  <w:style w:type="paragraph" w:styleId="Ttulo1">
    <w:name w:val="heading 1"/>
    <w:basedOn w:val="Normal"/>
    <w:next w:val="Normal"/>
    <w:qFormat/>
    <w:pPr>
      <w:keepNext/>
      <w:spacing w:before="240" w:after="60"/>
      <w:outlineLvl w:val="0"/>
    </w:pPr>
    <w:rPr>
      <w:b/>
      <w:color w:val="000080"/>
      <w:spacing w:val="-8"/>
      <w:kern w:val="28"/>
      <w:sz w:val="28"/>
      <w:lang w:val="es-CO"/>
    </w:rPr>
  </w:style>
  <w:style w:type="paragraph" w:styleId="Ttulo2">
    <w:name w:val="heading 2"/>
    <w:basedOn w:val="Normal"/>
    <w:next w:val="Normal"/>
    <w:qFormat/>
    <w:pPr>
      <w:keepNext/>
      <w:jc w:val="center"/>
      <w:outlineLvl w:val="1"/>
    </w:pPr>
    <w:rPr>
      <w:b/>
    </w:rPr>
  </w:style>
  <w:style w:type="paragraph" w:styleId="Ttulo3">
    <w:name w:val="heading 3"/>
    <w:basedOn w:val="Normal"/>
    <w:next w:val="Normal"/>
    <w:qFormat/>
    <w:pPr>
      <w:keepNext/>
      <w:jc w:val="center"/>
      <w:outlineLvl w:val="2"/>
    </w:pPr>
    <w:rPr>
      <w:rFonts w:ascii="Tahoma" w:hAnsi="Tahoma" w:cs="Tahoma"/>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odyText21">
    <w:name w:val="Body Text 21"/>
    <w:basedOn w:val="Normal"/>
    <w:pPr>
      <w:overflowPunct w:val="0"/>
      <w:autoSpaceDE w:val="0"/>
      <w:autoSpaceDN w:val="0"/>
      <w:adjustRightInd w:val="0"/>
      <w:ind w:right="902"/>
      <w:textAlignment w:val="baseline"/>
    </w:pPr>
    <w:rPr>
      <w:rFonts w:ascii="Verdana" w:hAnsi="Verdana"/>
      <w:sz w:val="18"/>
      <w:lang w:val="es-CO"/>
    </w:rPr>
  </w:style>
  <w:style w:type="paragraph" w:styleId="Sangra3detindependiente">
    <w:name w:val="Body Text Indent 3"/>
    <w:basedOn w:val="Normal"/>
    <w:pPr>
      <w:overflowPunct w:val="0"/>
      <w:autoSpaceDE w:val="0"/>
      <w:autoSpaceDN w:val="0"/>
      <w:adjustRightInd w:val="0"/>
      <w:ind w:left="709" w:hanging="349"/>
      <w:jc w:val="both"/>
      <w:textAlignment w:val="baseline"/>
    </w:pPr>
    <w:rPr>
      <w:rFonts w:ascii="Tahoma" w:hAnsi="Tahoma" w:cs="Tahoma"/>
      <w:bCs/>
      <w:sz w:val="22"/>
      <w:lang w:val="es-CO"/>
    </w:rPr>
  </w:style>
  <w:style w:type="paragraph" w:styleId="Textoindependiente">
    <w:name w:val="Body Text"/>
    <w:basedOn w:val="Normal"/>
    <w:pPr>
      <w:jc w:val="both"/>
    </w:pPr>
    <w:rPr>
      <w:rFonts w:ascii="Tahoma" w:hAnsi="Tahoma" w:cs="Tahoma"/>
      <w:iCs/>
      <w:sz w:val="18"/>
    </w:rPr>
  </w:style>
  <w:style w:type="paragraph" w:customStyle="1" w:styleId="BodyText31">
    <w:name w:val="Body Text 31"/>
    <w:basedOn w:val="Normal"/>
    <w:pPr>
      <w:widowControl w:val="0"/>
      <w:overflowPunct w:val="0"/>
      <w:autoSpaceDE w:val="0"/>
      <w:autoSpaceDN w:val="0"/>
      <w:adjustRightInd w:val="0"/>
      <w:jc w:val="both"/>
      <w:textAlignment w:val="baseline"/>
    </w:pPr>
    <w:rPr>
      <w:b/>
      <w:sz w:val="24"/>
      <w:lang w:val="es-CO"/>
    </w:rPr>
  </w:style>
  <w:style w:type="character" w:customStyle="1" w:styleId="InitialStyle">
    <w:name w:val="InitialStyle"/>
    <w:rPr>
      <w:rFonts w:ascii="Courier New" w:hAnsi="Courier New"/>
      <w:color w:val="auto"/>
      <w:spacing w:val="0"/>
      <w:sz w:val="28"/>
    </w:rPr>
  </w:style>
  <w:style w:type="paragraph" w:styleId="Textoindependiente2">
    <w:name w:val="Body Text 2"/>
    <w:basedOn w:val="Normal"/>
    <w:rsid w:val="003227FD"/>
    <w:pPr>
      <w:spacing w:after="120" w:line="480" w:lineRule="auto"/>
    </w:pPr>
  </w:style>
  <w:style w:type="paragraph" w:styleId="Encabezado">
    <w:name w:val="header"/>
    <w:basedOn w:val="Normal"/>
    <w:rsid w:val="00A2785C"/>
    <w:pPr>
      <w:tabs>
        <w:tab w:val="center" w:pos="4252"/>
        <w:tab w:val="right" w:pos="8504"/>
      </w:tabs>
    </w:pPr>
  </w:style>
  <w:style w:type="paragraph" w:styleId="Piedepgina">
    <w:name w:val="footer"/>
    <w:basedOn w:val="Normal"/>
    <w:link w:val="PiedepginaCar"/>
    <w:uiPriority w:val="99"/>
    <w:rsid w:val="00A2785C"/>
    <w:pPr>
      <w:tabs>
        <w:tab w:val="center" w:pos="4252"/>
        <w:tab w:val="right" w:pos="8504"/>
      </w:tabs>
    </w:pPr>
  </w:style>
  <w:style w:type="character" w:styleId="Nmerodepgina">
    <w:name w:val="page number"/>
    <w:basedOn w:val="Fuentedeprrafopredeter"/>
    <w:rsid w:val="0080773A"/>
  </w:style>
  <w:style w:type="paragraph" w:styleId="NormalWeb">
    <w:name w:val="Normal (Web)"/>
    <w:basedOn w:val="Normal"/>
    <w:uiPriority w:val="99"/>
    <w:rsid w:val="00BA450F"/>
    <w:pPr>
      <w:spacing w:before="100" w:beforeAutospacing="1" w:after="100" w:afterAutospacing="1"/>
    </w:pPr>
    <w:rPr>
      <w:rFonts w:ascii="Arial Unicode MS" w:eastAsia="Arial Unicode MS" w:hAnsi="Arial Unicode MS" w:cs="Arial Unicode MS"/>
      <w:sz w:val="24"/>
      <w:szCs w:val="24"/>
    </w:rPr>
  </w:style>
  <w:style w:type="character" w:customStyle="1" w:styleId="CommentReference">
    <w:name w:val="Comment Reference"/>
    <w:uiPriority w:val="99"/>
    <w:rsid w:val="00885E7D"/>
    <w:rPr>
      <w:sz w:val="16"/>
      <w:szCs w:val="16"/>
    </w:rPr>
  </w:style>
  <w:style w:type="paragraph" w:customStyle="1" w:styleId="CommentText">
    <w:name w:val="Comment Text"/>
    <w:basedOn w:val="Normal"/>
    <w:link w:val="CommentTextChar"/>
    <w:uiPriority w:val="99"/>
    <w:rsid w:val="00885E7D"/>
  </w:style>
  <w:style w:type="paragraph" w:customStyle="1" w:styleId="CommentSubject">
    <w:name w:val="Comment Subject"/>
    <w:basedOn w:val="CommentText"/>
    <w:next w:val="CommentText"/>
    <w:semiHidden/>
    <w:rsid w:val="00885E7D"/>
    <w:rPr>
      <w:b/>
      <w:bCs/>
    </w:rPr>
  </w:style>
  <w:style w:type="paragraph" w:styleId="Textodeglobo">
    <w:name w:val="Balloon Text"/>
    <w:basedOn w:val="Normal"/>
    <w:semiHidden/>
    <w:rsid w:val="00885E7D"/>
    <w:rPr>
      <w:rFonts w:ascii="Tahoma" w:hAnsi="Tahoma" w:cs="Tahoma"/>
      <w:sz w:val="16"/>
      <w:szCs w:val="16"/>
    </w:rPr>
  </w:style>
  <w:style w:type="paragraph" w:customStyle="1" w:styleId="Listavistosa-nfasis11">
    <w:name w:val="Lista vistosa - Énfasis 11"/>
    <w:aliases w:val="Normal. Viñetas,Colorful List - Accent 11"/>
    <w:basedOn w:val="Normal"/>
    <w:link w:val="Listavistosa-nfasis1Car"/>
    <w:uiPriority w:val="34"/>
    <w:qFormat/>
    <w:rsid w:val="009C537F"/>
    <w:pPr>
      <w:spacing w:after="200" w:line="276" w:lineRule="auto"/>
      <w:ind w:left="720"/>
      <w:contextualSpacing/>
    </w:pPr>
    <w:rPr>
      <w:rFonts w:ascii="Calibri" w:hAnsi="Calibri"/>
      <w:sz w:val="22"/>
      <w:szCs w:val="22"/>
      <w:lang w:val="es-CO" w:eastAsia="es-CO"/>
    </w:rPr>
  </w:style>
  <w:style w:type="paragraph" w:customStyle="1" w:styleId="Default">
    <w:name w:val="Default"/>
    <w:rsid w:val="00DF1E66"/>
    <w:pPr>
      <w:autoSpaceDE w:val="0"/>
      <w:autoSpaceDN w:val="0"/>
      <w:adjustRightInd w:val="0"/>
    </w:pPr>
    <w:rPr>
      <w:rFonts w:ascii="Arial" w:hAnsi="Arial" w:cs="Arial"/>
      <w:color w:val="000000"/>
      <w:sz w:val="24"/>
      <w:szCs w:val="24"/>
    </w:rPr>
  </w:style>
  <w:style w:type="paragraph" w:customStyle="1" w:styleId="Cuerpo">
    <w:name w:val="Cuerpo"/>
    <w:rsid w:val="00DF1E66"/>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PiedepginaCar">
    <w:name w:val="Pie de página Car"/>
    <w:link w:val="Piedepgina"/>
    <w:uiPriority w:val="99"/>
    <w:rsid w:val="00B4178F"/>
    <w:rPr>
      <w:rFonts w:ascii="Arial" w:hAnsi="Arial"/>
      <w:lang w:val="es-ES" w:eastAsia="es-ES"/>
    </w:rPr>
  </w:style>
  <w:style w:type="paragraph" w:customStyle="1" w:styleId="xmsonormal">
    <w:name w:val="x_msonormal"/>
    <w:basedOn w:val="Normal"/>
    <w:rsid w:val="00715DD5"/>
    <w:pPr>
      <w:spacing w:before="100" w:beforeAutospacing="1" w:after="100" w:afterAutospacing="1"/>
    </w:pPr>
    <w:rPr>
      <w:rFonts w:ascii="Times New Roman" w:hAnsi="Times New Roman"/>
      <w:sz w:val="24"/>
      <w:szCs w:val="24"/>
      <w:lang w:val="es-CO" w:eastAsia="es-CO"/>
    </w:rPr>
  </w:style>
  <w:style w:type="paragraph" w:customStyle="1" w:styleId="xmsolistparagraph">
    <w:name w:val="x_msolistparagraph"/>
    <w:basedOn w:val="Normal"/>
    <w:rsid w:val="00715DD5"/>
    <w:pPr>
      <w:spacing w:before="100" w:beforeAutospacing="1" w:after="100" w:afterAutospacing="1"/>
    </w:pPr>
    <w:rPr>
      <w:rFonts w:ascii="Times New Roman" w:hAnsi="Times New Roman"/>
      <w:sz w:val="24"/>
      <w:szCs w:val="24"/>
      <w:lang w:val="es-CO" w:eastAsia="es-CO"/>
    </w:rPr>
  </w:style>
  <w:style w:type="character" w:customStyle="1" w:styleId="apple-converted-space">
    <w:name w:val="apple-converted-space"/>
    <w:basedOn w:val="Fuentedeprrafopredeter"/>
    <w:rsid w:val="00715DD5"/>
  </w:style>
  <w:style w:type="paragraph" w:customStyle="1" w:styleId="xcuerpo">
    <w:name w:val="x_cuerpo"/>
    <w:basedOn w:val="Normal"/>
    <w:rsid w:val="00715DD5"/>
    <w:pPr>
      <w:spacing w:before="100" w:beforeAutospacing="1" w:after="100" w:afterAutospacing="1"/>
    </w:pPr>
    <w:rPr>
      <w:rFonts w:ascii="Times New Roman" w:hAnsi="Times New Roman"/>
      <w:sz w:val="24"/>
      <w:szCs w:val="24"/>
      <w:lang w:val="es-CO" w:eastAsia="es-CO"/>
    </w:rPr>
  </w:style>
  <w:style w:type="paragraph" w:styleId="Textonotapie">
    <w:name w:val="footnote text"/>
    <w:basedOn w:val="Normal"/>
    <w:link w:val="TextonotapieCar"/>
    <w:uiPriority w:val="99"/>
    <w:rsid w:val="00925058"/>
    <w:rPr>
      <w:rFonts w:ascii="Times" w:eastAsia="Times" w:hAnsi="Times"/>
      <w:lang w:val="en-US"/>
    </w:rPr>
  </w:style>
  <w:style w:type="character" w:customStyle="1" w:styleId="TextonotapieCar">
    <w:name w:val="Texto nota pie Car"/>
    <w:link w:val="Textonotapie"/>
    <w:uiPriority w:val="99"/>
    <w:rsid w:val="00925058"/>
    <w:rPr>
      <w:rFonts w:ascii="Times" w:eastAsia="Times" w:hAnsi="Times"/>
      <w:lang w:val="en-US" w:eastAsia="es-ES"/>
    </w:rPr>
  </w:style>
  <w:style w:type="character" w:styleId="Refdenotaalpie">
    <w:name w:val="footnote reference"/>
    <w:uiPriority w:val="99"/>
    <w:rsid w:val="00925058"/>
    <w:rPr>
      <w:vertAlign w:val="superscript"/>
    </w:rPr>
  </w:style>
  <w:style w:type="paragraph" w:customStyle="1" w:styleId="Cuadrculamedia21">
    <w:name w:val="Cuadrícula media 21"/>
    <w:qFormat/>
    <w:rsid w:val="00236F62"/>
    <w:rPr>
      <w:rFonts w:ascii="Calibri" w:eastAsia="Calibri" w:hAnsi="Calibri"/>
      <w:sz w:val="22"/>
      <w:szCs w:val="22"/>
      <w:lang w:eastAsia="en-US"/>
    </w:rPr>
  </w:style>
  <w:style w:type="character" w:styleId="Fuerte">
    <w:name w:val="Strong"/>
    <w:uiPriority w:val="22"/>
    <w:qFormat/>
    <w:rsid w:val="002D2CB2"/>
    <w:rPr>
      <w:b/>
      <w:bCs/>
    </w:rPr>
  </w:style>
  <w:style w:type="paragraph" w:styleId="Ttulo">
    <w:name w:val="Title"/>
    <w:basedOn w:val="Normal"/>
    <w:link w:val="TtuloCar"/>
    <w:qFormat/>
    <w:rsid w:val="00AE03F3"/>
    <w:pPr>
      <w:jc w:val="center"/>
    </w:pPr>
    <w:rPr>
      <w:rFonts w:cs="Arial"/>
      <w:b/>
      <w:bCs/>
      <w:sz w:val="32"/>
      <w:szCs w:val="24"/>
    </w:rPr>
  </w:style>
  <w:style w:type="character" w:customStyle="1" w:styleId="TtuloCar">
    <w:name w:val="Título Car"/>
    <w:link w:val="Ttulo"/>
    <w:rsid w:val="00AE03F3"/>
    <w:rPr>
      <w:rFonts w:ascii="Arial" w:hAnsi="Arial" w:cs="Arial"/>
      <w:b/>
      <w:bCs/>
      <w:sz w:val="32"/>
      <w:szCs w:val="24"/>
      <w:lang w:val="es-ES" w:eastAsia="es-ES"/>
    </w:rPr>
  </w:style>
  <w:style w:type="character" w:customStyle="1" w:styleId="Listavistosa-nfasis1Car">
    <w:name w:val="Lista vistosa - Énfasis 1 Car"/>
    <w:aliases w:val="Normal. Viñetas Car,Colorful List - Accent 11 Car"/>
    <w:link w:val="Listavistosa-nfasis11"/>
    <w:uiPriority w:val="34"/>
    <w:locked/>
    <w:rsid w:val="005629D0"/>
    <w:rPr>
      <w:rFonts w:ascii="Calibri" w:hAnsi="Calibri"/>
      <w:sz w:val="22"/>
      <w:szCs w:val="22"/>
    </w:rPr>
  </w:style>
  <w:style w:type="character" w:styleId="Hipervnculo">
    <w:name w:val="Hyperlink"/>
    <w:uiPriority w:val="99"/>
    <w:unhideWhenUsed/>
    <w:rsid w:val="00F80E07"/>
    <w:rPr>
      <w:color w:val="0000FF"/>
      <w:u w:val="single"/>
    </w:rPr>
  </w:style>
  <w:style w:type="table" w:styleId="Tablaconcuadrcula">
    <w:name w:val="Table Grid"/>
    <w:basedOn w:val="Tablanormal"/>
    <w:rsid w:val="00350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olita,BOLADEF,BOLA,Guión,Titulo 8,Párrafo de lista4,Párrafo de lista5,Párrafo de lista21,Párrafo de lista1,MIBEX B,HOJA,Párrafo de lista3,Párrafo de lista2,Viñetas,VIÑETA,Título de Diagrama,NORMAL,Bullet List"/>
    <w:basedOn w:val="Normal"/>
    <w:link w:val="PrrafodelistaCar"/>
    <w:uiPriority w:val="34"/>
    <w:qFormat/>
    <w:rsid w:val="00515441"/>
    <w:pPr>
      <w:widowControl w:val="0"/>
      <w:ind w:left="508"/>
    </w:pPr>
    <w:rPr>
      <w:rFonts w:ascii="Verdana" w:eastAsia="Verdana" w:hAnsi="Verdana" w:cs="Verdana"/>
      <w:sz w:val="22"/>
      <w:szCs w:val="22"/>
      <w:lang w:eastAsia="es-CO"/>
    </w:rPr>
  </w:style>
  <w:style w:type="paragraph" w:styleId="Descripcin">
    <w:name w:val="caption"/>
    <w:basedOn w:val="Normal"/>
    <w:next w:val="Normal"/>
    <w:uiPriority w:val="35"/>
    <w:unhideWhenUsed/>
    <w:qFormat/>
    <w:rsid w:val="009A50B7"/>
    <w:pPr>
      <w:widowControl w:val="0"/>
      <w:spacing w:after="200"/>
    </w:pPr>
    <w:rPr>
      <w:rFonts w:ascii="Verdana" w:eastAsia="Verdana" w:hAnsi="Verdana" w:cs="Verdana"/>
      <w:i/>
      <w:iCs/>
      <w:color w:val="1F497D"/>
      <w:sz w:val="18"/>
      <w:szCs w:val="18"/>
      <w:lang w:eastAsia="es-CO"/>
    </w:rPr>
  </w:style>
  <w:style w:type="character" w:customStyle="1" w:styleId="wacimagecontainer">
    <w:name w:val="wacimagecontainer"/>
    <w:basedOn w:val="Fuentedeprrafopredeter"/>
    <w:rsid w:val="00AC51D5"/>
  </w:style>
  <w:style w:type="character" w:styleId="Mencinsinresolver">
    <w:name w:val="Unresolved Mention"/>
    <w:basedOn w:val="Fuentedeprrafopredeter"/>
    <w:uiPriority w:val="99"/>
    <w:semiHidden/>
    <w:unhideWhenUsed/>
    <w:rsid w:val="00357C6F"/>
    <w:rPr>
      <w:color w:val="605E5C"/>
      <w:shd w:val="clear" w:color="auto" w:fill="E1DFDD"/>
    </w:rPr>
  </w:style>
  <w:style w:type="character" w:customStyle="1" w:styleId="CommentTextChar">
    <w:name w:val="Comment Text Char"/>
    <w:link w:val="CommentText"/>
    <w:uiPriority w:val="99"/>
    <w:rsid w:val="00357C6F"/>
    <w:rPr>
      <w:rFonts w:ascii="Arial" w:hAnsi="Arial"/>
      <w:lang w:val="es-ES" w:eastAsia="es-ES"/>
    </w:rPr>
  </w:style>
  <w:style w:type="character" w:customStyle="1" w:styleId="normaltextrun">
    <w:name w:val="normaltextrun"/>
    <w:basedOn w:val="Fuentedeprrafopredeter"/>
    <w:rsid w:val="00357C6F"/>
  </w:style>
  <w:style w:type="paragraph" w:customStyle="1" w:styleId="p1">
    <w:name w:val="p1"/>
    <w:basedOn w:val="Normal"/>
    <w:rsid w:val="00357C6F"/>
    <w:pPr>
      <w:spacing w:before="100" w:beforeAutospacing="1" w:after="100" w:afterAutospacing="1"/>
    </w:pPr>
    <w:rPr>
      <w:rFonts w:ascii="Times New Roman" w:hAnsi="Times New Roman"/>
      <w:sz w:val="24"/>
      <w:szCs w:val="24"/>
      <w:lang w:val="es-CO" w:eastAsia="es-MX"/>
    </w:rPr>
  </w:style>
  <w:style w:type="character" w:customStyle="1" w:styleId="PrrafodelistaCar">
    <w:name w:val="Párrafo de lista Car"/>
    <w:aliases w:val="Bolita Car,BOLADEF Car,BOLA Car,Guión Car,Titulo 8 Car,Párrafo de lista4 Car,Párrafo de lista5 Car,Párrafo de lista21 Car,Párrafo de lista1 Car,MIBEX B Car,HOJA Car,Párrafo de lista3 Car,Párrafo de lista2 Car,Viñetas Car,VIÑETA Car"/>
    <w:link w:val="Prrafodelista"/>
    <w:uiPriority w:val="34"/>
    <w:qFormat/>
    <w:locked/>
    <w:rsid w:val="00357C6F"/>
    <w:rPr>
      <w:rFonts w:ascii="Verdana" w:eastAsia="Verdana" w:hAnsi="Verdana" w:cs="Verdana"/>
      <w:sz w:val="22"/>
      <w:szCs w:val="22"/>
      <w:lang w:val="es-ES"/>
    </w:rPr>
  </w:style>
  <w:style w:type="paragraph" w:styleId="Textocomentario">
    <w:name w:val="annotation text"/>
    <w:basedOn w:val="Normal"/>
    <w:link w:val="TextocomentarioCar"/>
    <w:uiPriority w:val="99"/>
  </w:style>
  <w:style w:type="character" w:customStyle="1" w:styleId="TextocomentarioCar">
    <w:name w:val="Texto comentario Car"/>
    <w:basedOn w:val="Fuentedeprrafopredeter"/>
    <w:link w:val="Textocomentario"/>
    <w:uiPriority w:val="99"/>
    <w:rPr>
      <w:rFonts w:ascii="Arial" w:hAnsi="Arial"/>
      <w:lang w:val="es-ES" w:eastAsia="es-ES"/>
    </w:rPr>
  </w:style>
  <w:style w:type="character" w:styleId="Refdecomentario">
    <w:name w:val="annotation reference"/>
    <w:basedOn w:val="Fuentedeprrafopredeter"/>
    <w:uiPriority w:val="99"/>
    <w:rPr>
      <w:sz w:val="16"/>
      <w:szCs w:val="16"/>
    </w:rPr>
  </w:style>
  <w:style w:type="paragraph" w:styleId="Revisin">
    <w:name w:val="Revision"/>
    <w:hidden/>
    <w:uiPriority w:val="71"/>
    <w:rsid w:val="00EA3808"/>
    <w:rPr>
      <w:rFonts w:ascii="Arial" w:hAnsi="Arial"/>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604925">
      <w:bodyDiv w:val="1"/>
      <w:marLeft w:val="0"/>
      <w:marRight w:val="0"/>
      <w:marTop w:val="0"/>
      <w:marBottom w:val="0"/>
      <w:divBdr>
        <w:top w:val="none" w:sz="0" w:space="0" w:color="auto"/>
        <w:left w:val="none" w:sz="0" w:space="0" w:color="auto"/>
        <w:bottom w:val="none" w:sz="0" w:space="0" w:color="auto"/>
        <w:right w:val="none" w:sz="0" w:space="0" w:color="auto"/>
      </w:divBdr>
    </w:div>
    <w:div w:id="522674520">
      <w:bodyDiv w:val="1"/>
      <w:marLeft w:val="0"/>
      <w:marRight w:val="0"/>
      <w:marTop w:val="0"/>
      <w:marBottom w:val="0"/>
      <w:divBdr>
        <w:top w:val="none" w:sz="0" w:space="0" w:color="auto"/>
        <w:left w:val="none" w:sz="0" w:space="0" w:color="auto"/>
        <w:bottom w:val="none" w:sz="0" w:space="0" w:color="auto"/>
        <w:right w:val="none" w:sz="0" w:space="0" w:color="auto"/>
      </w:divBdr>
    </w:div>
    <w:div w:id="959460742">
      <w:bodyDiv w:val="1"/>
      <w:marLeft w:val="0"/>
      <w:marRight w:val="0"/>
      <w:marTop w:val="0"/>
      <w:marBottom w:val="0"/>
      <w:divBdr>
        <w:top w:val="none" w:sz="0" w:space="0" w:color="auto"/>
        <w:left w:val="none" w:sz="0" w:space="0" w:color="auto"/>
        <w:bottom w:val="none" w:sz="0" w:space="0" w:color="auto"/>
        <w:right w:val="none" w:sz="0" w:space="0" w:color="auto"/>
      </w:divBdr>
    </w:div>
    <w:div w:id="1134756186">
      <w:bodyDiv w:val="1"/>
      <w:marLeft w:val="0"/>
      <w:marRight w:val="0"/>
      <w:marTop w:val="0"/>
      <w:marBottom w:val="0"/>
      <w:divBdr>
        <w:top w:val="none" w:sz="0" w:space="0" w:color="auto"/>
        <w:left w:val="none" w:sz="0" w:space="0" w:color="auto"/>
        <w:bottom w:val="none" w:sz="0" w:space="0" w:color="auto"/>
        <w:right w:val="none" w:sz="0" w:space="0" w:color="auto"/>
      </w:divBdr>
    </w:div>
    <w:div w:id="1275871350">
      <w:bodyDiv w:val="1"/>
      <w:marLeft w:val="0"/>
      <w:marRight w:val="0"/>
      <w:marTop w:val="0"/>
      <w:marBottom w:val="0"/>
      <w:divBdr>
        <w:top w:val="none" w:sz="0" w:space="0" w:color="auto"/>
        <w:left w:val="none" w:sz="0" w:space="0" w:color="auto"/>
        <w:bottom w:val="none" w:sz="0" w:space="0" w:color="auto"/>
        <w:right w:val="none" w:sz="0" w:space="0" w:color="auto"/>
      </w:divBdr>
    </w:div>
    <w:div w:id="1434084038">
      <w:bodyDiv w:val="1"/>
      <w:marLeft w:val="0"/>
      <w:marRight w:val="0"/>
      <w:marTop w:val="0"/>
      <w:marBottom w:val="0"/>
      <w:divBdr>
        <w:top w:val="none" w:sz="0" w:space="0" w:color="auto"/>
        <w:left w:val="none" w:sz="0" w:space="0" w:color="auto"/>
        <w:bottom w:val="none" w:sz="0" w:space="0" w:color="auto"/>
        <w:right w:val="none" w:sz="0" w:space="0" w:color="auto"/>
      </w:divBdr>
    </w:div>
    <w:div w:id="2062749975">
      <w:bodyDiv w:val="1"/>
      <w:marLeft w:val="0"/>
      <w:marRight w:val="0"/>
      <w:marTop w:val="0"/>
      <w:marBottom w:val="0"/>
      <w:divBdr>
        <w:top w:val="none" w:sz="0" w:space="0" w:color="auto"/>
        <w:left w:val="none" w:sz="0" w:space="0" w:color="auto"/>
        <w:bottom w:val="none" w:sz="0" w:space="0" w:color="auto"/>
        <w:right w:val="none" w:sz="0" w:space="0" w:color="auto"/>
      </w:divBdr>
    </w:div>
    <w:div w:id="209855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turban.minambiente.gov.co/"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inambiente.gov.c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inambiente.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213DE7E0D0206447AE97E2A6C7A9B3D7" ma:contentTypeVersion="19" ma:contentTypeDescription="Crear nuevo documento." ma:contentTypeScope="" ma:versionID="a5dbe2bbe25d94838e8ab6234111374f">
  <xsd:schema xmlns:xsd="http://www.w3.org/2001/XMLSchema" xmlns:xs="http://www.w3.org/2001/XMLSchema" xmlns:p="http://schemas.microsoft.com/office/2006/metadata/properties" xmlns:ns2="136fdea3-2e69-4c60-8130-6a6319a71c3c" xmlns:ns3="1a05cbd2-3996-442c-b34a-5028faf53e55" targetNamespace="http://schemas.microsoft.com/office/2006/metadata/properties" ma:root="true" ma:fieldsID="dd46c73243dadcca21b71aaef5800722" ns2:_="" ns3:_="">
    <xsd:import namespace="136fdea3-2e69-4c60-8130-6a6319a71c3c"/>
    <xsd:import namespace="1a05cbd2-3996-442c-b34a-5028faf53e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6fdea3-2e69-4c60-8130-6a6319a71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02ef2ac-9fa5-4cf2-ab23-7792f470ab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05cbd2-3996-442c-b34a-5028faf53e55"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42545850-0c82-41f8-98cc-6c9121af0f3b}" ma:internalName="TaxCatchAll" ma:showField="CatchAllData" ma:web="1a05cbd2-3996-442c-b34a-5028faf53e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6fdea3-2e69-4c60-8130-6a6319a71c3c">
      <Terms xmlns="http://schemas.microsoft.com/office/infopath/2007/PartnerControls"/>
    </lcf76f155ced4ddcb4097134ff3c332f>
    <TaxCatchAll xmlns="1a05cbd2-3996-442c-b34a-5028faf53e55" xsi:nil="true"/>
  </documentManagement>
</p:properties>
</file>

<file path=customXml/itemProps1.xml><?xml version="1.0" encoding="utf-8"?>
<ds:datastoreItem xmlns:ds="http://schemas.openxmlformats.org/officeDocument/2006/customXml" ds:itemID="{43E60995-47DD-6241-9253-C051BD784910}">
  <ds:schemaRefs>
    <ds:schemaRef ds:uri="http://schemas.openxmlformats.org/officeDocument/2006/bibliography"/>
  </ds:schemaRefs>
</ds:datastoreItem>
</file>

<file path=customXml/itemProps2.xml><?xml version="1.0" encoding="utf-8"?>
<ds:datastoreItem xmlns:ds="http://schemas.openxmlformats.org/officeDocument/2006/customXml" ds:itemID="{18BD7847-FF2B-4291-9EC6-D674BFE82C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6fdea3-2e69-4c60-8130-6a6319a71c3c"/>
    <ds:schemaRef ds:uri="1a05cbd2-3996-442c-b34a-5028faf53e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24FA23-E1ED-4796-9B62-1574F9467D34}">
  <ds:schemaRefs>
    <ds:schemaRef ds:uri="http://schemas.microsoft.com/sharepoint/v3/contenttype/forms"/>
  </ds:schemaRefs>
</ds:datastoreItem>
</file>

<file path=customXml/itemProps4.xml><?xml version="1.0" encoding="utf-8"?>
<ds:datastoreItem xmlns:ds="http://schemas.openxmlformats.org/officeDocument/2006/customXml" ds:itemID="{CCDE480A-3FD6-49E4-BD3D-5BE6C7C1645A}">
  <ds:schemaRefs>
    <ds:schemaRef ds:uri="http://schemas.microsoft.com/office/2006/metadata/properties"/>
    <ds:schemaRef ds:uri="http://schemas.microsoft.com/office/infopath/2007/PartnerControls"/>
    <ds:schemaRef ds:uri="136fdea3-2e69-4c60-8130-6a6319a71c3c"/>
    <ds:schemaRef ds:uri="1a05cbd2-3996-442c-b34a-5028faf53e55"/>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20</Pages>
  <Words>6659</Words>
  <Characters>36630</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dafp</Company>
  <LinksUpToDate>false</LinksUpToDate>
  <CharactersWithSpaces>43203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de sistemas</dc:creator>
  <cp:keywords/>
  <dc:description/>
  <cp:lastModifiedBy>Fredy Norato</cp:lastModifiedBy>
  <cp:revision>12</cp:revision>
  <cp:lastPrinted>2019-07-08T22:30:00Z</cp:lastPrinted>
  <dcterms:created xsi:type="dcterms:W3CDTF">2026-07-11T22:12:00Z</dcterms:created>
  <dcterms:modified xsi:type="dcterms:W3CDTF">2026-07-13T20:49:00Z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0x010100213DE7E0D0206447AE97E2A6C7A9B3D7</vt:lpwstr>
  </property>
</Properties>
</file>