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291"/>
      </w:tblGrid>
      <w:tr w:rsidR="00BF6B70" w:rsidRPr="006374A6" w14:paraId="1E76974B" w14:textId="77777777" w:rsidTr="0029655F">
        <w:tc>
          <w:tcPr>
            <w:tcW w:w="3539" w:type="dxa"/>
            <w:vAlign w:val="center"/>
          </w:tcPr>
          <w:p w14:paraId="6C57C998" w14:textId="77777777" w:rsidR="00BF6B70" w:rsidRPr="00F43A21" w:rsidRDefault="00BF6B70" w:rsidP="00F12CE7">
            <w:pPr>
              <w:pStyle w:val="Textoindependiente"/>
              <w:widowControl w:val="0"/>
              <w:spacing w:before="120" w:after="60"/>
              <w:ind w:right="618"/>
              <w:rPr>
                <w:rFonts w:ascii="Arial Narrow" w:hAnsi="Arial Narrow"/>
                <w:b/>
                <w:bCs/>
              </w:rPr>
            </w:pPr>
            <w:r w:rsidRPr="00F43A21">
              <w:rPr>
                <w:rFonts w:ascii="Arial Narrow" w:hAnsi="Arial Narrow"/>
                <w:b/>
                <w:bCs/>
              </w:rPr>
              <w:t xml:space="preserve">Título de la iniciativa </w:t>
            </w:r>
            <w:r w:rsidR="00023C4B" w:rsidRPr="00F43A21">
              <w:rPr>
                <w:rFonts w:ascii="Arial Narrow" w:hAnsi="Arial Narrow"/>
                <w:b/>
                <w:bCs/>
              </w:rPr>
              <w:t>normativa</w:t>
            </w:r>
          </w:p>
        </w:tc>
        <w:tc>
          <w:tcPr>
            <w:tcW w:w="5291" w:type="dxa"/>
          </w:tcPr>
          <w:p w14:paraId="7EDDCFB7" w14:textId="77777777" w:rsidR="00BF6B70" w:rsidRPr="00F43A21" w:rsidRDefault="00A658AB" w:rsidP="007F16E6">
            <w:pPr>
              <w:pStyle w:val="Textoindependiente"/>
              <w:widowControl w:val="0"/>
              <w:spacing w:before="120" w:after="60"/>
              <w:ind w:right="116"/>
              <w:rPr>
                <w:rFonts w:ascii="Arial Narrow" w:hAnsi="Arial Narrow"/>
              </w:rPr>
            </w:pPr>
            <w:r w:rsidRPr="00F43A21">
              <w:rPr>
                <w:rFonts w:ascii="Arial Narrow" w:hAnsi="Arial Narrow"/>
              </w:rPr>
              <w:t>“</w:t>
            </w:r>
            <w:r w:rsidRPr="00F43A21">
              <w:rPr>
                <w:rFonts w:ascii="Arial Narrow" w:hAnsi="Arial Narrow"/>
                <w:i/>
                <w:iCs/>
              </w:rPr>
              <w:t>Por la cual se declara una zona de reserva de recursos naturales renovables de carácter temporal en el Páramo Almorzadero departamento de Norte de Santander y Santander y se toman otras determinaciones</w:t>
            </w:r>
            <w:r w:rsidRPr="00F43A21">
              <w:rPr>
                <w:rFonts w:ascii="Arial Narrow" w:hAnsi="Arial Narrow"/>
              </w:rPr>
              <w:t>”</w:t>
            </w:r>
          </w:p>
        </w:tc>
      </w:tr>
      <w:tr w:rsidR="00BF6B70" w:rsidRPr="006374A6" w14:paraId="695F6532" w14:textId="77777777" w:rsidTr="0029655F">
        <w:tc>
          <w:tcPr>
            <w:tcW w:w="3539" w:type="dxa"/>
            <w:vAlign w:val="center"/>
          </w:tcPr>
          <w:p w14:paraId="4696DCCE" w14:textId="77777777" w:rsidR="00BF6B70" w:rsidRPr="00F43A21" w:rsidRDefault="00023C4B" w:rsidP="00F12CE7">
            <w:pPr>
              <w:pStyle w:val="Textoindependiente"/>
              <w:widowControl w:val="0"/>
              <w:spacing w:before="120" w:after="60"/>
              <w:ind w:right="618"/>
              <w:rPr>
                <w:rFonts w:ascii="Arial Narrow" w:hAnsi="Arial Narrow"/>
                <w:b/>
                <w:bCs/>
              </w:rPr>
            </w:pPr>
            <w:r w:rsidRPr="00F43A21">
              <w:rPr>
                <w:rFonts w:ascii="Arial Narrow" w:hAnsi="Arial Narrow"/>
                <w:b/>
                <w:bCs/>
              </w:rPr>
              <w:t>T</w:t>
            </w:r>
            <w:r w:rsidR="00BF6B70" w:rsidRPr="00F43A21">
              <w:rPr>
                <w:rFonts w:ascii="Arial Narrow" w:hAnsi="Arial Narrow"/>
                <w:b/>
                <w:bCs/>
              </w:rPr>
              <w:t>ipo de norma</w:t>
            </w:r>
          </w:p>
        </w:tc>
        <w:tc>
          <w:tcPr>
            <w:tcW w:w="5291" w:type="dxa"/>
          </w:tcPr>
          <w:p w14:paraId="24A1AC65" w14:textId="77777777" w:rsidR="00BF6B70" w:rsidRPr="00F43A21" w:rsidRDefault="0049042C" w:rsidP="00F12CE7">
            <w:pPr>
              <w:pStyle w:val="Textoindependiente"/>
              <w:widowControl w:val="0"/>
              <w:spacing w:before="120" w:after="60"/>
              <w:ind w:right="618"/>
              <w:rPr>
                <w:rFonts w:ascii="Arial Narrow" w:hAnsi="Arial Narrow"/>
              </w:rPr>
            </w:pPr>
            <w:r w:rsidRPr="00F43A21">
              <w:rPr>
                <w:rFonts w:ascii="Arial Narrow" w:hAnsi="Arial Narrow"/>
              </w:rPr>
              <w:t xml:space="preserve">Resolución </w:t>
            </w:r>
          </w:p>
        </w:tc>
      </w:tr>
      <w:tr w:rsidR="00BF6B70" w:rsidRPr="006374A6" w14:paraId="606401F1" w14:textId="77777777" w:rsidTr="0029655F">
        <w:tc>
          <w:tcPr>
            <w:tcW w:w="3539" w:type="dxa"/>
            <w:vAlign w:val="center"/>
          </w:tcPr>
          <w:p w14:paraId="0BBA2C73" w14:textId="77777777" w:rsidR="00BF6B70" w:rsidRPr="00F43A21" w:rsidRDefault="00023C4B" w:rsidP="00F12CE7">
            <w:pPr>
              <w:pStyle w:val="Textoindependiente"/>
              <w:widowControl w:val="0"/>
              <w:spacing w:before="120" w:after="60"/>
              <w:ind w:right="618"/>
              <w:rPr>
                <w:rFonts w:ascii="Arial Narrow" w:hAnsi="Arial Narrow"/>
                <w:b/>
                <w:bCs/>
              </w:rPr>
            </w:pPr>
            <w:r w:rsidRPr="00F43A21">
              <w:rPr>
                <w:rFonts w:ascii="Arial Narrow" w:hAnsi="Arial Narrow"/>
                <w:b/>
                <w:bCs/>
              </w:rPr>
              <w:t>D</w:t>
            </w:r>
            <w:r w:rsidR="00BF6B70" w:rsidRPr="00F43A21">
              <w:rPr>
                <w:rFonts w:ascii="Arial Narrow" w:hAnsi="Arial Narrow"/>
                <w:b/>
                <w:bCs/>
              </w:rPr>
              <w:t>ependencia que lo presenta</w:t>
            </w:r>
          </w:p>
        </w:tc>
        <w:tc>
          <w:tcPr>
            <w:tcW w:w="5291" w:type="dxa"/>
          </w:tcPr>
          <w:p w14:paraId="0047DFDE" w14:textId="77777777" w:rsidR="00BF6B70" w:rsidRPr="00F43A21" w:rsidRDefault="0049042C" w:rsidP="007F16E6">
            <w:pPr>
              <w:pStyle w:val="Textoindependiente"/>
              <w:widowControl w:val="0"/>
              <w:spacing w:before="120" w:after="60"/>
              <w:ind w:right="116"/>
              <w:rPr>
                <w:rFonts w:ascii="Arial Narrow" w:hAnsi="Arial Narrow"/>
              </w:rPr>
            </w:pPr>
            <w:r w:rsidRPr="00F43A21">
              <w:rPr>
                <w:rFonts w:ascii="Arial Narrow" w:hAnsi="Arial Narrow"/>
              </w:rPr>
              <w:t xml:space="preserve">Dirección de Bosques y Servicios Ecosistémicos </w:t>
            </w:r>
          </w:p>
        </w:tc>
      </w:tr>
      <w:tr w:rsidR="00BF6B70" w:rsidRPr="006374A6" w14:paraId="7DFA8CD8" w14:textId="77777777" w:rsidTr="0029655F">
        <w:tc>
          <w:tcPr>
            <w:tcW w:w="3539" w:type="dxa"/>
            <w:vAlign w:val="center"/>
          </w:tcPr>
          <w:p w14:paraId="77AB6087" w14:textId="77777777" w:rsidR="00BF6B70" w:rsidRPr="00F43A21" w:rsidRDefault="00023C4B" w:rsidP="00F12CE7">
            <w:pPr>
              <w:pStyle w:val="Textoindependiente"/>
              <w:widowControl w:val="0"/>
              <w:spacing w:before="120" w:after="60"/>
              <w:ind w:right="618"/>
              <w:rPr>
                <w:rFonts w:ascii="Arial Narrow" w:hAnsi="Arial Narrow"/>
                <w:b/>
                <w:bCs/>
              </w:rPr>
            </w:pPr>
            <w:r w:rsidRPr="00F43A21">
              <w:rPr>
                <w:rFonts w:ascii="Arial Narrow" w:hAnsi="Arial Narrow"/>
                <w:b/>
                <w:bCs/>
              </w:rPr>
              <w:t>A</w:t>
            </w:r>
            <w:r w:rsidR="00BF6B70" w:rsidRPr="00F43A21">
              <w:rPr>
                <w:rFonts w:ascii="Arial Narrow" w:hAnsi="Arial Narrow"/>
                <w:b/>
                <w:bCs/>
              </w:rPr>
              <w:t>valado por</w:t>
            </w:r>
          </w:p>
        </w:tc>
        <w:tc>
          <w:tcPr>
            <w:tcW w:w="5291" w:type="dxa"/>
          </w:tcPr>
          <w:p w14:paraId="04A30B70" w14:textId="77777777" w:rsidR="00BF6B70" w:rsidRPr="00F43A21" w:rsidRDefault="00BF6B70" w:rsidP="007F16E6">
            <w:pPr>
              <w:pStyle w:val="Textoindependiente"/>
              <w:widowControl w:val="0"/>
              <w:spacing w:before="120" w:after="60"/>
              <w:ind w:right="116"/>
              <w:rPr>
                <w:rFonts w:ascii="Arial Narrow" w:hAnsi="Arial Narrow"/>
              </w:rPr>
            </w:pPr>
            <w:r w:rsidRPr="00F43A21">
              <w:rPr>
                <w:rFonts w:ascii="Arial Narrow" w:hAnsi="Arial Narrow"/>
              </w:rPr>
              <w:t>Viceministr</w:t>
            </w:r>
            <w:r w:rsidR="0049042C" w:rsidRPr="00F43A21">
              <w:rPr>
                <w:rFonts w:ascii="Arial Narrow" w:hAnsi="Arial Narrow"/>
              </w:rPr>
              <w:t>a</w:t>
            </w:r>
            <w:r w:rsidR="00023C4B" w:rsidRPr="00F43A21">
              <w:rPr>
                <w:rFonts w:ascii="Arial Narrow" w:hAnsi="Arial Narrow"/>
              </w:rPr>
              <w:t xml:space="preserve"> </w:t>
            </w:r>
            <w:r w:rsidR="006374A6" w:rsidRPr="00F43A21">
              <w:rPr>
                <w:rFonts w:ascii="Arial Narrow" w:hAnsi="Arial Narrow"/>
              </w:rPr>
              <w:t xml:space="preserve">Políticas </w:t>
            </w:r>
            <w:r w:rsidR="00023C4B" w:rsidRPr="00F43A21">
              <w:rPr>
                <w:rFonts w:ascii="Arial Narrow" w:hAnsi="Arial Narrow"/>
              </w:rPr>
              <w:t xml:space="preserve">y Normalización </w:t>
            </w:r>
            <w:r w:rsidR="0049042C" w:rsidRPr="00F43A21">
              <w:rPr>
                <w:rFonts w:ascii="Arial Narrow" w:hAnsi="Arial Narrow"/>
              </w:rPr>
              <w:t>Ambiental y</w:t>
            </w:r>
            <w:r w:rsidR="00023C4B" w:rsidRPr="00F43A21">
              <w:rPr>
                <w:rFonts w:ascii="Arial Narrow" w:hAnsi="Arial Narrow"/>
              </w:rPr>
              <w:t xml:space="preserve"> Viceministr</w:t>
            </w:r>
            <w:r w:rsidR="0049042C" w:rsidRPr="00F43A21">
              <w:rPr>
                <w:rFonts w:ascii="Arial Narrow" w:hAnsi="Arial Narrow"/>
              </w:rPr>
              <w:t>a</w:t>
            </w:r>
            <w:r w:rsidR="00023C4B" w:rsidRPr="00F43A21">
              <w:rPr>
                <w:rFonts w:ascii="Arial Narrow" w:hAnsi="Arial Narrow"/>
              </w:rPr>
              <w:t xml:space="preserve"> de Ordenamiento Ambiental del Territorio </w:t>
            </w:r>
          </w:p>
        </w:tc>
      </w:tr>
      <w:tr w:rsidR="00BF6B70" w:rsidRPr="006374A6" w14:paraId="02482305" w14:textId="77777777" w:rsidTr="0029655F">
        <w:tc>
          <w:tcPr>
            <w:tcW w:w="3539" w:type="dxa"/>
            <w:vAlign w:val="center"/>
          </w:tcPr>
          <w:p w14:paraId="0FFA2D69" w14:textId="77777777" w:rsidR="00BF6B70" w:rsidRPr="00F43A21" w:rsidRDefault="00023C4B" w:rsidP="00F12CE7">
            <w:pPr>
              <w:pStyle w:val="Textoindependiente"/>
              <w:widowControl w:val="0"/>
              <w:spacing w:before="120" w:after="60"/>
              <w:ind w:right="618"/>
              <w:rPr>
                <w:rFonts w:ascii="Arial Narrow" w:hAnsi="Arial Narrow"/>
                <w:b/>
                <w:bCs/>
              </w:rPr>
            </w:pPr>
            <w:r w:rsidRPr="00F43A21">
              <w:rPr>
                <w:rFonts w:ascii="Arial Narrow" w:hAnsi="Arial Narrow"/>
                <w:b/>
                <w:bCs/>
              </w:rPr>
              <w:t>P</w:t>
            </w:r>
            <w:r w:rsidR="00BF6B70" w:rsidRPr="00F43A21">
              <w:rPr>
                <w:rFonts w:ascii="Arial Narrow" w:hAnsi="Arial Narrow"/>
                <w:b/>
                <w:bCs/>
              </w:rPr>
              <w:t>olítica(s) que instrumenta</w:t>
            </w:r>
          </w:p>
        </w:tc>
        <w:tc>
          <w:tcPr>
            <w:tcW w:w="5291" w:type="dxa"/>
          </w:tcPr>
          <w:p w14:paraId="0BACE133" w14:textId="77777777" w:rsidR="00BF6B70" w:rsidRPr="00F43A21" w:rsidRDefault="002B78BF" w:rsidP="00F12CE7">
            <w:pPr>
              <w:pStyle w:val="Textoindependiente"/>
              <w:widowControl w:val="0"/>
              <w:spacing w:before="120" w:after="60"/>
              <w:ind w:right="618"/>
              <w:rPr>
                <w:rFonts w:ascii="Arial Narrow" w:hAnsi="Arial Narrow"/>
              </w:rPr>
            </w:pPr>
            <w:r w:rsidRPr="00F43A21">
              <w:rPr>
                <w:rFonts w:ascii="Arial Narrow" w:hAnsi="Arial Narrow"/>
              </w:rPr>
              <w:t>Protección de Ecosistemas Estratégicos.</w:t>
            </w:r>
          </w:p>
        </w:tc>
      </w:tr>
      <w:tr w:rsidR="00BF6B70" w:rsidRPr="006374A6" w14:paraId="1130A5D1" w14:textId="77777777" w:rsidTr="0029655F">
        <w:trPr>
          <w:trHeight w:val="1382"/>
        </w:trPr>
        <w:tc>
          <w:tcPr>
            <w:tcW w:w="3539" w:type="dxa"/>
            <w:vAlign w:val="center"/>
          </w:tcPr>
          <w:p w14:paraId="161D2138" w14:textId="77777777" w:rsidR="00BF6B70" w:rsidRPr="00F43A21" w:rsidRDefault="00BF6B70" w:rsidP="00F12CE7">
            <w:pPr>
              <w:rPr>
                <w:rFonts w:ascii="Arial Narrow" w:hAnsi="Arial Narrow"/>
                <w:b/>
                <w:bCs/>
              </w:rPr>
            </w:pPr>
            <w:r w:rsidRPr="00F43A21">
              <w:rPr>
                <w:rFonts w:ascii="Arial Narrow" w:hAnsi="Arial Narrow"/>
                <w:b/>
                <w:bCs/>
              </w:rPr>
              <w:t>Competencia para expedir el instrumento</w:t>
            </w:r>
            <w:r w:rsidR="00023C4B" w:rsidRPr="00F43A21">
              <w:rPr>
                <w:rFonts w:ascii="Arial Narrow" w:hAnsi="Arial Narrow"/>
                <w:b/>
                <w:bCs/>
              </w:rPr>
              <w:t xml:space="preserve"> normativo</w:t>
            </w:r>
          </w:p>
        </w:tc>
        <w:tc>
          <w:tcPr>
            <w:tcW w:w="5291" w:type="dxa"/>
          </w:tcPr>
          <w:p w14:paraId="76901989" w14:textId="77777777" w:rsidR="00BF6B70" w:rsidRPr="00F43A21" w:rsidRDefault="0049042C" w:rsidP="007F16E6">
            <w:pPr>
              <w:pStyle w:val="Textoindependiente"/>
              <w:widowControl w:val="0"/>
              <w:spacing w:before="120" w:after="60"/>
              <w:ind w:right="116"/>
              <w:rPr>
                <w:rFonts w:ascii="Arial Narrow" w:hAnsi="Arial Narrow"/>
              </w:rPr>
            </w:pPr>
            <w:r w:rsidRPr="00F43A21">
              <w:rPr>
                <w:rFonts w:ascii="Arial Narrow" w:hAnsi="Arial Narrow"/>
              </w:rPr>
              <w:t>Artículo 47 del Decreto Ley 2811 de 1974 reglamentado por el Decreto</w:t>
            </w:r>
            <w:r w:rsidRPr="00F43A21">
              <w:t> </w:t>
            </w:r>
            <w:r w:rsidRPr="00F43A21">
              <w:rPr>
                <w:rFonts w:ascii="Arial Narrow" w:hAnsi="Arial Narrow"/>
              </w:rPr>
              <w:t>44 de 2024, los numerales 1, 2, 5, 14, 19 y 24 del artículo 5 de la Ley 99 de 1993, el artículo 2 del Decreto Ley 3570 de 2011.</w:t>
            </w:r>
          </w:p>
        </w:tc>
      </w:tr>
    </w:tbl>
    <w:p w14:paraId="1255FEF2" w14:textId="77777777" w:rsidR="00BF6B70" w:rsidRPr="00F43A21" w:rsidRDefault="00BF6B70" w:rsidP="00F43A21">
      <w:pPr>
        <w:pStyle w:val="Textoindependiente"/>
        <w:widowControl w:val="0"/>
        <w:spacing w:before="120" w:after="60"/>
        <w:ind w:right="51"/>
        <w:rPr>
          <w:rFonts w:ascii="Arial Narrow" w:hAnsi="Arial Narrow"/>
        </w:rPr>
      </w:pPr>
      <w:r w:rsidRPr="002B78BF">
        <w:rPr>
          <w:rFonts w:ascii="Arial Narrow" w:hAnsi="Arial Narrow"/>
        </w:rPr>
        <w:t>De ac</w:t>
      </w:r>
      <w:r w:rsidR="00186E7F" w:rsidRPr="002B78BF">
        <w:rPr>
          <w:rFonts w:ascii="Arial Narrow" w:hAnsi="Arial Narrow"/>
        </w:rPr>
        <w:t>uerdo al anexo 1 del Decreto 1</w:t>
      </w:r>
      <w:r w:rsidR="00351659" w:rsidRPr="002B78BF">
        <w:rPr>
          <w:rFonts w:ascii="Arial Narrow" w:hAnsi="Arial Narrow"/>
        </w:rPr>
        <w:t>081</w:t>
      </w:r>
      <w:r w:rsidRPr="002B78BF">
        <w:rPr>
          <w:rFonts w:ascii="Arial Narrow" w:hAnsi="Arial Narrow"/>
        </w:rPr>
        <w:t xml:space="preserve"> de 2015</w:t>
      </w:r>
      <w:r w:rsidR="00351659" w:rsidRPr="002B78BF">
        <w:rPr>
          <w:rFonts w:ascii="Arial Narrow" w:hAnsi="Arial Narrow"/>
        </w:rPr>
        <w:t xml:space="preserve"> y sus modificatorios, pa</w:t>
      </w:r>
      <w:r w:rsidRPr="002B78BF">
        <w:rPr>
          <w:rFonts w:ascii="Arial Narrow" w:hAnsi="Arial Narrow"/>
        </w:rPr>
        <w:t xml:space="preserve">ra la expedición de </w:t>
      </w:r>
      <w:r w:rsidRPr="00F43A21">
        <w:rPr>
          <w:rFonts w:ascii="Arial Narrow" w:hAnsi="Arial Narrow"/>
        </w:rPr>
        <w:t xml:space="preserve">un instrumento normativo </w:t>
      </w:r>
      <w:r w:rsidR="00BA6E34" w:rsidRPr="00F43A21">
        <w:rPr>
          <w:rFonts w:ascii="Arial Narrow" w:hAnsi="Arial Narrow"/>
        </w:rPr>
        <w:t>es necesario conocer la siguiente información</w:t>
      </w:r>
      <w:r w:rsidRPr="00F43A21">
        <w:rPr>
          <w:rFonts w:ascii="Arial Narrow" w:hAnsi="Arial Narrow"/>
        </w:rPr>
        <w:t>:</w:t>
      </w:r>
    </w:p>
    <w:p w14:paraId="0822505A" w14:textId="77777777" w:rsidR="00281570" w:rsidRPr="00F43A21" w:rsidRDefault="00281570" w:rsidP="00F43A21">
      <w:pPr>
        <w:pStyle w:val="Textoindependiente"/>
        <w:widowControl w:val="0"/>
        <w:numPr>
          <w:ilvl w:val="0"/>
          <w:numId w:val="31"/>
        </w:numPr>
        <w:spacing w:before="120" w:after="60"/>
        <w:ind w:left="714" w:right="51" w:hanging="357"/>
        <w:rPr>
          <w:rFonts w:ascii="Arial Narrow" w:hAnsi="Arial Narrow"/>
          <w:b/>
          <w:bCs/>
        </w:rPr>
      </w:pPr>
      <w:r w:rsidRPr="00F43A21">
        <w:rPr>
          <w:rFonts w:ascii="Arial Narrow" w:hAnsi="Arial Narrow"/>
          <w:b/>
          <w:bCs/>
        </w:rPr>
        <w:t>¿Cuál es la finalidad de la norma que se va a expedir? (</w:t>
      </w:r>
      <w:r w:rsidR="00351659" w:rsidRPr="00F43A21">
        <w:rPr>
          <w:rFonts w:ascii="Arial Narrow" w:hAnsi="Arial Narrow"/>
          <w:b/>
          <w:bCs/>
        </w:rPr>
        <w:t>Defina</w:t>
      </w:r>
      <w:r w:rsidRPr="00F43A21">
        <w:rPr>
          <w:rFonts w:ascii="Arial Narrow" w:hAnsi="Arial Narrow"/>
          <w:b/>
          <w:bCs/>
        </w:rPr>
        <w:t xml:space="preserve"> UNA sola finalidad).</w:t>
      </w:r>
    </w:p>
    <w:p w14:paraId="27713648" w14:textId="77777777" w:rsidR="004020D5" w:rsidRPr="00F43A21" w:rsidRDefault="004020D5" w:rsidP="00F43A21">
      <w:pPr>
        <w:pStyle w:val="Textoindependiente"/>
        <w:widowControl w:val="0"/>
        <w:spacing w:before="120" w:after="60"/>
        <w:ind w:right="51"/>
        <w:rPr>
          <w:rFonts w:ascii="Arial Narrow" w:hAnsi="Arial Narrow"/>
        </w:rPr>
      </w:pPr>
      <w:r w:rsidRPr="00F43A21">
        <w:rPr>
          <w:rFonts w:ascii="Arial Narrow" w:hAnsi="Arial Narrow"/>
        </w:rPr>
        <w:t>Garantizar, por medida precautoria, la protección del ecosistema de páramo del Almorzadero mediante la prohibición de nuevas actividades mineras dentro del polígono definido, mientras se adopta la delimitación participativa definitiva.</w:t>
      </w:r>
    </w:p>
    <w:p w14:paraId="3D3C3ABA" w14:textId="77777777" w:rsidR="00606FBD" w:rsidRPr="00F43A21" w:rsidRDefault="00281570" w:rsidP="00F43A21">
      <w:pPr>
        <w:pStyle w:val="Textoindependiente"/>
        <w:widowControl w:val="0"/>
        <w:numPr>
          <w:ilvl w:val="0"/>
          <w:numId w:val="31"/>
        </w:numPr>
        <w:spacing w:before="120" w:after="60"/>
        <w:ind w:left="714" w:right="51" w:hanging="357"/>
        <w:rPr>
          <w:rFonts w:ascii="Arial Narrow" w:hAnsi="Arial Narrow"/>
          <w:b/>
          <w:bCs/>
        </w:rPr>
      </w:pPr>
      <w:r w:rsidRPr="00F43A21">
        <w:rPr>
          <w:rFonts w:ascii="Arial Narrow" w:hAnsi="Arial Narrow"/>
          <w:b/>
          <w:bCs/>
        </w:rPr>
        <w:t xml:space="preserve">Identifique </w:t>
      </w:r>
      <w:r w:rsidR="00023C4B" w:rsidRPr="00F43A21">
        <w:rPr>
          <w:rFonts w:ascii="Arial Narrow" w:hAnsi="Arial Narrow"/>
          <w:b/>
          <w:bCs/>
        </w:rPr>
        <w:t xml:space="preserve">la </w:t>
      </w:r>
      <w:r w:rsidRPr="00F43A21">
        <w:rPr>
          <w:rFonts w:ascii="Arial Narrow" w:hAnsi="Arial Narrow"/>
          <w:b/>
          <w:bCs/>
        </w:rPr>
        <w:t>problemática y el objetivo que persigue la emisión de la norma.</w:t>
      </w:r>
      <w:r w:rsidR="00B10F02" w:rsidRPr="00F43A21">
        <w:rPr>
          <w:rFonts w:ascii="Arial Narrow" w:hAnsi="Arial Narrow"/>
          <w:b/>
          <w:bCs/>
        </w:rPr>
        <w:t xml:space="preserve"> Porqué y para que de la misma.</w:t>
      </w:r>
    </w:p>
    <w:p w14:paraId="4AA5D1DA" w14:textId="77777777" w:rsidR="00F43A21" w:rsidRPr="00F43A21" w:rsidRDefault="00F43A21" w:rsidP="0029655F">
      <w:pPr>
        <w:pStyle w:val="Textoindependiente"/>
        <w:widowControl w:val="0"/>
        <w:ind w:left="714" w:right="51"/>
        <w:rPr>
          <w:rFonts w:ascii="Arial Narrow" w:hAnsi="Arial Narrow"/>
        </w:rPr>
      </w:pPr>
    </w:p>
    <w:p w14:paraId="567081B1" w14:textId="77777777" w:rsidR="002B78BF" w:rsidRPr="00F43A21" w:rsidRDefault="002B78BF" w:rsidP="00F43A21">
      <w:pPr>
        <w:spacing w:line="276" w:lineRule="auto"/>
        <w:ind w:right="51"/>
        <w:jc w:val="both"/>
        <w:rPr>
          <w:rFonts w:ascii="Arial Narrow" w:hAnsi="Arial Narrow" w:cs="Arial"/>
        </w:rPr>
      </w:pPr>
      <w:r w:rsidRPr="00F43A21">
        <w:rPr>
          <w:rFonts w:ascii="Arial Narrow" w:hAnsi="Arial Narrow"/>
        </w:rPr>
        <w:t>La Resolución 152 de 2018 que delimitó el Páramo del Almorzadero fue dejada sin efectos por la Sala Civil</w:t>
      </w:r>
      <w:r w:rsidRPr="00F43A21">
        <w:rPr>
          <w:rFonts w:ascii="Arial Narrow" w:hAnsi="Arial Narrow"/>
        </w:rPr>
        <w:noBreakHyphen/>
        <w:t xml:space="preserve">Familia del Tribunal Superior de Bucaramanga (3 de septiembre de 2019) por déficit de participación, con orden de rehacer la delimitación. Posteriormente, </w:t>
      </w:r>
      <w:r w:rsidRPr="00F43A21">
        <w:rPr>
          <w:rStyle w:val="Fuerte"/>
          <w:rFonts w:ascii="Arial Narrow" w:hAnsi="Arial Narrow"/>
          <w:b w:val="0"/>
          <w:bCs w:val="0"/>
        </w:rPr>
        <w:t>el despacho de primera instancia que llevaba el seguimiento dispuso el archivo del trámite</w:t>
      </w:r>
      <w:r w:rsidRPr="00F43A21">
        <w:rPr>
          <w:rFonts w:ascii="Arial Narrow" w:hAnsi="Arial Narrow"/>
          <w:b/>
          <w:bCs/>
        </w:rPr>
        <w:t xml:space="preserve">, </w:t>
      </w:r>
      <w:r w:rsidRPr="00F43A21">
        <w:rPr>
          <w:rFonts w:ascii="Arial Narrow" w:hAnsi="Arial Narrow"/>
        </w:rPr>
        <w:t xml:space="preserve">lo que incrementó la incertidumbre jurídica e institucional sobre la aplicabilidad de una determinación ambiental específica en el territorio, con efectos prácticos para POT/EOT y para las comunidades (créditos, comercialización y usos del suelo). </w:t>
      </w:r>
      <w:r w:rsidRPr="00F43A21">
        <w:rPr>
          <w:rStyle w:val="Fuerte"/>
          <w:rFonts w:ascii="Arial Narrow" w:hAnsi="Arial Narrow"/>
          <w:b w:val="0"/>
          <w:bCs w:val="0"/>
        </w:rPr>
        <w:t>Con todo, ello no cuestiona la obligación reforzada de proteger el ecosistema estratégico de páramo</w:t>
      </w:r>
      <w:r w:rsidR="002A07AD">
        <w:rPr>
          <w:rStyle w:val="Fuerte"/>
          <w:rFonts w:ascii="Arial Narrow" w:hAnsi="Arial Narrow"/>
          <w:b w:val="0"/>
          <w:bCs w:val="0"/>
        </w:rPr>
        <w:t xml:space="preserve"> en línea con el cumplimiento de los acuerdos del paro y en cumplimiento de las ordenes judiciales</w:t>
      </w:r>
      <w:r w:rsidRPr="00F43A21">
        <w:rPr>
          <w:rFonts w:ascii="Arial Narrow" w:hAnsi="Arial Narrow"/>
        </w:rPr>
        <w:t xml:space="preserve">; por el contrario, refuerza la necesidad de contar con un </w:t>
      </w:r>
      <w:r w:rsidRPr="00F43A21">
        <w:rPr>
          <w:rStyle w:val="Fuerte"/>
          <w:rFonts w:ascii="Arial Narrow" w:hAnsi="Arial Narrow"/>
          <w:b w:val="0"/>
          <w:bCs w:val="0"/>
        </w:rPr>
        <w:t>instrumento transitorio</w:t>
      </w:r>
      <w:r w:rsidRPr="00F43A21">
        <w:rPr>
          <w:rFonts w:ascii="Arial Narrow" w:hAnsi="Arial Narrow"/>
          <w:b/>
          <w:bCs/>
        </w:rPr>
        <w:t xml:space="preserve"> </w:t>
      </w:r>
      <w:r w:rsidRPr="00F43A21">
        <w:rPr>
          <w:rFonts w:ascii="Arial Narrow" w:hAnsi="Arial Narrow"/>
        </w:rPr>
        <w:t>que —</w:t>
      </w:r>
      <w:r w:rsidRPr="00F43A21">
        <w:rPr>
          <w:rStyle w:val="Fuerte"/>
          <w:rFonts w:ascii="Arial Narrow" w:hAnsi="Arial Narrow"/>
          <w:b w:val="0"/>
          <w:bCs w:val="0"/>
        </w:rPr>
        <w:t>sin sustituir la delimitación ni erigirse en “determinante</w:t>
      </w:r>
      <w:r w:rsidRPr="00F43A21">
        <w:rPr>
          <w:rStyle w:val="Fuerte"/>
          <w:rFonts w:ascii="Arial Narrow" w:hAnsi="Arial Narrow"/>
        </w:rPr>
        <w:t xml:space="preserve"> </w:t>
      </w:r>
      <w:r w:rsidRPr="00F43A21">
        <w:rPr>
          <w:rStyle w:val="Fuerte"/>
          <w:rFonts w:ascii="Arial Narrow" w:hAnsi="Arial Narrow"/>
          <w:b w:val="0"/>
          <w:bCs w:val="0"/>
        </w:rPr>
        <w:t>ambiental”</w:t>
      </w:r>
      <w:r w:rsidRPr="00F43A21">
        <w:rPr>
          <w:rFonts w:ascii="Arial Narrow" w:hAnsi="Arial Narrow"/>
        </w:rPr>
        <w:t xml:space="preserve">— sirva de base de planeación y </w:t>
      </w:r>
      <w:r w:rsidRPr="00F43A21">
        <w:rPr>
          <w:rStyle w:val="Fuerte"/>
          <w:rFonts w:ascii="Arial Narrow" w:hAnsi="Arial Narrow"/>
          <w:b w:val="0"/>
          <w:bCs w:val="0"/>
        </w:rPr>
        <w:t>evite nuevas presiones, en particular mineras</w:t>
      </w:r>
      <w:r w:rsidRPr="00F43A21">
        <w:rPr>
          <w:rFonts w:ascii="Arial Narrow" w:hAnsi="Arial Narrow"/>
        </w:rPr>
        <w:t>, durante el tránsito hacia la nueva delimitación participativa.</w:t>
      </w:r>
    </w:p>
    <w:p w14:paraId="352C59EA" w14:textId="77777777" w:rsidR="002B78BF" w:rsidRPr="00F43A21" w:rsidRDefault="002B78BF" w:rsidP="00F43A21">
      <w:pPr>
        <w:spacing w:line="276" w:lineRule="auto"/>
        <w:ind w:right="51"/>
        <w:jc w:val="both"/>
        <w:rPr>
          <w:rFonts w:ascii="Arial Narrow" w:hAnsi="Arial Narrow" w:cs="Arial"/>
        </w:rPr>
      </w:pPr>
    </w:p>
    <w:p w14:paraId="01822E18" w14:textId="77777777" w:rsidR="00DD3157" w:rsidRPr="00F43A21" w:rsidRDefault="00DD3157" w:rsidP="00F43A21">
      <w:pPr>
        <w:spacing w:line="276" w:lineRule="auto"/>
        <w:ind w:right="51"/>
        <w:jc w:val="both"/>
        <w:rPr>
          <w:rFonts w:ascii="Arial Narrow" w:hAnsi="Arial Narrow" w:cs="Arial"/>
        </w:rPr>
      </w:pPr>
      <w:r w:rsidRPr="00F43A21">
        <w:rPr>
          <w:rFonts w:ascii="Arial Narrow" w:hAnsi="Arial Narrow" w:cs="Arial"/>
        </w:rPr>
        <w:lastRenderedPageBreak/>
        <w:t xml:space="preserve">Con base en la capacidad de uso de suelo, según el </w:t>
      </w:r>
      <w:proofErr w:type="spellStart"/>
      <w:r w:rsidRPr="00F43A21">
        <w:rPr>
          <w:rFonts w:ascii="Arial Narrow" w:hAnsi="Arial Narrow" w:cs="Arial"/>
        </w:rPr>
        <w:t>IAvH</w:t>
      </w:r>
      <w:proofErr w:type="spellEnd"/>
      <w:r w:rsidRPr="00F43A21">
        <w:rPr>
          <w:rFonts w:ascii="Arial Narrow" w:hAnsi="Arial Narrow" w:cs="Arial"/>
        </w:rPr>
        <w:t xml:space="preserve"> (2017) el 21% del área del páramo presenta conflictos por uso de suelo, ello teniendo en cuenta que, el 17% del suelo tiene usos inadecuados, y el 4% presenta condiciones de sobreutilización severa</w:t>
      </w:r>
      <w:r w:rsidR="00F170E4" w:rsidRPr="00F43A21">
        <w:rPr>
          <w:rFonts w:ascii="Arial Narrow" w:hAnsi="Arial Narrow" w:cs="Arial"/>
        </w:rPr>
        <w:t>, dichas incompatibilidades se relacionan con actividades de extracción minera de carbón y materiales de construcción, así como actividades agrícolas y pecuarias.</w:t>
      </w:r>
      <w:r w:rsidRPr="00F43A21">
        <w:rPr>
          <w:rFonts w:ascii="Arial Narrow" w:hAnsi="Arial Narrow" w:cs="Arial"/>
        </w:rPr>
        <w:t xml:space="preserve"> Bajo este contexto, se hace indispensable velar por la conservación y el uso adecuado del suelo, de manera que se logre prevenir el aumento en el área con conflicto de uso y con ello la degradación de las propiedades del suelo, así como la afectación de las dinámicas ecosistémicas que presenta el </w:t>
      </w:r>
      <w:proofErr w:type="gramStart"/>
      <w:r w:rsidRPr="00F43A21">
        <w:rPr>
          <w:rFonts w:ascii="Arial Narrow" w:hAnsi="Arial Narrow" w:cs="Arial"/>
        </w:rPr>
        <w:t>CPALM .</w:t>
      </w:r>
      <w:proofErr w:type="gramEnd"/>
      <w:r w:rsidRPr="00F43A21">
        <w:rPr>
          <w:rFonts w:ascii="Arial Narrow" w:hAnsi="Arial Narrow" w:cs="Arial"/>
        </w:rPr>
        <w:t xml:space="preserve"> </w:t>
      </w:r>
    </w:p>
    <w:p w14:paraId="7A2EF827" w14:textId="77777777" w:rsidR="004020D5" w:rsidRPr="00F43A21" w:rsidRDefault="004020D5" w:rsidP="00F43A21">
      <w:pPr>
        <w:pStyle w:val="Textoindependiente"/>
        <w:widowControl w:val="0"/>
        <w:spacing w:before="120" w:after="60"/>
        <w:ind w:right="51"/>
        <w:rPr>
          <w:rFonts w:ascii="Arial Narrow" w:hAnsi="Arial Narrow"/>
        </w:rPr>
      </w:pPr>
      <w:r w:rsidRPr="00F43A21">
        <w:rPr>
          <w:rFonts w:ascii="Arial Narrow" w:hAnsi="Arial Narrow"/>
        </w:rPr>
        <w:t>Cerrar el vacío temporal de protección con una Zona de Reserva de Recursos Naturales Renovables de carácter temporal (ZRTA), que bloquea nuevas concesiones o licencias mineras y permite continuar las actividades agropecuarias tradicionales, mientras se adelanta la delimitación participativa.</w:t>
      </w:r>
    </w:p>
    <w:p w14:paraId="76F2DB2A" w14:textId="77777777" w:rsidR="004020D5" w:rsidRPr="00F43A21" w:rsidRDefault="004020D5" w:rsidP="00F43A21">
      <w:pPr>
        <w:pStyle w:val="Textoindependiente"/>
        <w:widowControl w:val="0"/>
        <w:spacing w:before="120" w:after="60"/>
        <w:ind w:right="51"/>
        <w:rPr>
          <w:rFonts w:ascii="Arial Narrow" w:hAnsi="Arial Narrow"/>
        </w:rPr>
      </w:pPr>
      <w:r w:rsidRPr="00F43A21">
        <w:rPr>
          <w:rFonts w:ascii="Arial Narrow" w:hAnsi="Arial Narrow"/>
        </w:rPr>
        <w:t xml:space="preserve">Dar una protección adicional al polígono del ecosistema estratégico en atención a la incertidumbre que ha generado el juez encargado del seguimiento a la sentencia de tutela que ordenó la delimitación participativa. </w:t>
      </w:r>
    </w:p>
    <w:p w14:paraId="5DCECE52" w14:textId="77777777" w:rsidR="005A536A" w:rsidRPr="00F43A21" w:rsidRDefault="004020D5" w:rsidP="00F43A21">
      <w:pPr>
        <w:pStyle w:val="Textoindependiente"/>
        <w:widowControl w:val="0"/>
        <w:spacing w:before="120" w:after="60"/>
        <w:ind w:right="51"/>
        <w:rPr>
          <w:rFonts w:ascii="Arial Narrow" w:hAnsi="Arial Narrow"/>
        </w:rPr>
      </w:pPr>
      <w:r w:rsidRPr="00F43A21">
        <w:rPr>
          <w:rFonts w:ascii="Arial Narrow" w:hAnsi="Arial Narrow"/>
        </w:rPr>
        <w:t>Dar seguridad jurídica transitoria a CAR y municipios para articular sus instrumentos de ordenamiento aplicando el principio de precaución, sin convertir la ZRTA en determinante ambiental ni sustituir la delimitación</w:t>
      </w:r>
      <w:r w:rsidR="002B78BF" w:rsidRPr="00F43A21">
        <w:rPr>
          <w:rFonts w:ascii="Arial Narrow" w:hAnsi="Arial Narrow"/>
        </w:rPr>
        <w:t xml:space="preserve"> participativa ordenada por el juez constitucional</w:t>
      </w:r>
      <w:r w:rsidRPr="00F43A21">
        <w:rPr>
          <w:rFonts w:ascii="Arial Narrow" w:hAnsi="Arial Narrow"/>
        </w:rPr>
        <w:t>.</w:t>
      </w:r>
    </w:p>
    <w:p w14:paraId="61CE0790" w14:textId="77777777" w:rsidR="00281570" w:rsidRPr="00F43A21" w:rsidRDefault="00281570" w:rsidP="00F43A21">
      <w:pPr>
        <w:pStyle w:val="Textoindependiente"/>
        <w:widowControl w:val="0"/>
        <w:numPr>
          <w:ilvl w:val="0"/>
          <w:numId w:val="31"/>
        </w:numPr>
        <w:spacing w:before="120" w:after="60"/>
        <w:ind w:left="714" w:right="51" w:hanging="357"/>
        <w:rPr>
          <w:rFonts w:ascii="Arial Narrow" w:hAnsi="Arial Narrow"/>
          <w:b/>
          <w:bCs/>
        </w:rPr>
      </w:pPr>
      <w:r w:rsidRPr="00F43A21">
        <w:rPr>
          <w:rFonts w:ascii="Arial Narrow" w:hAnsi="Arial Narrow"/>
          <w:b/>
          <w:bCs/>
        </w:rPr>
        <w:t xml:space="preserve">¿Existe alguna norma vigente que regule </w:t>
      </w:r>
      <w:r w:rsidR="00023C4B" w:rsidRPr="00F43A21">
        <w:rPr>
          <w:rFonts w:ascii="Arial Narrow" w:hAnsi="Arial Narrow"/>
          <w:b/>
          <w:bCs/>
        </w:rPr>
        <w:t xml:space="preserve">el </w:t>
      </w:r>
      <w:r w:rsidRPr="00F43A21">
        <w:rPr>
          <w:rFonts w:ascii="Arial Narrow" w:hAnsi="Arial Narrow"/>
          <w:b/>
          <w:bCs/>
        </w:rPr>
        <w:t xml:space="preserve">mismo tema? </w:t>
      </w:r>
    </w:p>
    <w:p w14:paraId="38050F1B" w14:textId="77777777" w:rsidR="002B78BF" w:rsidRPr="00F43A21" w:rsidRDefault="002B78BF" w:rsidP="00F43A21">
      <w:pPr>
        <w:pStyle w:val="Textoindependiente"/>
        <w:widowControl w:val="0"/>
        <w:spacing w:before="120" w:after="60"/>
        <w:ind w:right="51"/>
        <w:rPr>
          <w:rFonts w:ascii="Arial Narrow" w:hAnsi="Arial Narrow"/>
        </w:rPr>
      </w:pPr>
      <w:r w:rsidRPr="00F43A21">
        <w:rPr>
          <w:rFonts w:ascii="Arial Narrow" w:hAnsi="Arial Narrow"/>
        </w:rPr>
        <w:t>Sí, a nivel general (marco habilitante y de política):</w:t>
      </w:r>
    </w:p>
    <w:p w14:paraId="352158F3" w14:textId="77777777" w:rsidR="002B78BF" w:rsidRPr="00F43A21" w:rsidRDefault="002B78BF" w:rsidP="00F43A21">
      <w:pPr>
        <w:pStyle w:val="Textoindependiente"/>
        <w:widowControl w:val="0"/>
        <w:spacing w:before="120" w:after="60"/>
        <w:ind w:right="51"/>
        <w:rPr>
          <w:rFonts w:ascii="Arial Narrow" w:hAnsi="Arial Narrow"/>
        </w:rPr>
      </w:pPr>
      <w:r w:rsidRPr="00F43A21">
        <w:rPr>
          <w:rFonts w:ascii="Arial Narrow" w:hAnsi="Arial Narrow"/>
        </w:rPr>
        <w:t>Art. 47 del Decreto</w:t>
      </w:r>
      <w:r w:rsidRPr="00F43A21">
        <w:rPr>
          <w:rFonts w:ascii="Cambria Math" w:hAnsi="Cambria Math" w:cs="Cambria Math"/>
        </w:rPr>
        <w:t>‑</w:t>
      </w:r>
      <w:r w:rsidRPr="00F43A21">
        <w:rPr>
          <w:rFonts w:ascii="Arial Narrow" w:hAnsi="Arial Narrow"/>
        </w:rPr>
        <w:t>Ley 2811 de 1974 (Código de Recursos Naturales): faculta a declarar zonas de reserva de recursos naturales; mientras la reserva esté vigente, los bienes afectados quedan excluidos de concesiones o autorizaciones de uso a particulares.</w:t>
      </w:r>
    </w:p>
    <w:p w14:paraId="5B5E2975" w14:textId="77777777" w:rsidR="00F170E4" w:rsidRPr="00F43A21" w:rsidRDefault="002B78BF" w:rsidP="00F43A21">
      <w:pPr>
        <w:pStyle w:val="Textoindependiente"/>
        <w:widowControl w:val="0"/>
        <w:spacing w:before="120" w:after="60"/>
        <w:ind w:right="51"/>
        <w:rPr>
          <w:rFonts w:ascii="Arial Narrow" w:hAnsi="Arial Narrow"/>
        </w:rPr>
      </w:pPr>
      <w:r w:rsidRPr="00F43A21">
        <w:rPr>
          <w:rFonts w:ascii="Arial Narrow" w:hAnsi="Arial Narrow"/>
        </w:rPr>
        <w:t>Ley 99 de 1993 (principios, incl. precaución) y Ley 1930 de 2018 (régimen de páramos); además, jurisprudencia constitucional (p. ej., C</w:t>
      </w:r>
      <w:r w:rsidRPr="00F43A21">
        <w:rPr>
          <w:rFonts w:ascii="Cambria Math" w:hAnsi="Cambria Math" w:cs="Cambria Math"/>
        </w:rPr>
        <w:t>‑</w:t>
      </w:r>
      <w:r w:rsidRPr="00F43A21">
        <w:rPr>
          <w:rFonts w:ascii="Arial Narrow" w:hAnsi="Arial Narrow"/>
        </w:rPr>
        <w:t>035/2016, T</w:t>
      </w:r>
      <w:r w:rsidRPr="00F43A21">
        <w:rPr>
          <w:rFonts w:ascii="Cambria Math" w:hAnsi="Cambria Math" w:cs="Cambria Math"/>
        </w:rPr>
        <w:t>‑</w:t>
      </w:r>
      <w:r w:rsidRPr="00F43A21">
        <w:rPr>
          <w:rFonts w:ascii="Arial Narrow" w:hAnsi="Arial Narrow"/>
        </w:rPr>
        <w:t>361/2017, C</w:t>
      </w:r>
      <w:r w:rsidRPr="00F43A21">
        <w:rPr>
          <w:rFonts w:ascii="Cambria Math" w:hAnsi="Cambria Math" w:cs="Cambria Math"/>
        </w:rPr>
        <w:t>‑</w:t>
      </w:r>
      <w:r w:rsidRPr="00F43A21">
        <w:rPr>
          <w:rFonts w:ascii="Arial Narrow" w:hAnsi="Arial Narrow"/>
        </w:rPr>
        <w:t>300/2021) que refuerza la protección de páramos y la participación. (Estas referencias aparecen desarrolladas en los considerandos del borrador.)</w:t>
      </w:r>
      <w:r w:rsidR="002A07AD">
        <w:rPr>
          <w:rFonts w:ascii="Arial Narrow" w:hAnsi="Arial Narrow"/>
        </w:rPr>
        <w:t xml:space="preserve"> </w:t>
      </w:r>
    </w:p>
    <w:p w14:paraId="46695CC6" w14:textId="77777777" w:rsidR="00281570" w:rsidRDefault="00281570" w:rsidP="00F43A21">
      <w:pPr>
        <w:pStyle w:val="Textoindependiente"/>
        <w:widowControl w:val="0"/>
        <w:spacing w:before="120" w:after="60"/>
        <w:ind w:left="426" w:right="51" w:firstLine="283"/>
        <w:rPr>
          <w:rFonts w:ascii="Arial Narrow" w:hAnsi="Arial Narrow"/>
          <w:b/>
          <w:bCs/>
        </w:rPr>
      </w:pPr>
      <w:r w:rsidRPr="00F43A21">
        <w:rPr>
          <w:rFonts w:ascii="Arial Narrow" w:hAnsi="Arial Narrow"/>
          <w:b/>
          <w:bCs/>
        </w:rPr>
        <w:t xml:space="preserve">Si_ (pase a la pregunta 4) No_ (pase a la pregunta 6). </w:t>
      </w:r>
    </w:p>
    <w:p w14:paraId="7D7BD5B2" w14:textId="77777777" w:rsidR="00281570" w:rsidRPr="00F43A21" w:rsidRDefault="00281570" w:rsidP="00F43A21">
      <w:pPr>
        <w:pStyle w:val="Textoindependiente"/>
        <w:widowControl w:val="0"/>
        <w:numPr>
          <w:ilvl w:val="0"/>
          <w:numId w:val="31"/>
        </w:numPr>
        <w:spacing w:before="120" w:after="60"/>
        <w:ind w:left="714" w:right="51" w:hanging="357"/>
        <w:rPr>
          <w:rFonts w:ascii="Arial Narrow" w:hAnsi="Arial Narrow"/>
          <w:b/>
          <w:bCs/>
        </w:rPr>
      </w:pPr>
      <w:r w:rsidRPr="00F43A21">
        <w:rPr>
          <w:rFonts w:ascii="Arial Narrow" w:hAnsi="Arial Narrow"/>
          <w:b/>
          <w:bCs/>
        </w:rPr>
        <w:t xml:space="preserve">Si ya existe una norma, explique por qué resulta insuficiente. </w:t>
      </w:r>
    </w:p>
    <w:p w14:paraId="12C1FA50" w14:textId="77777777" w:rsidR="002B78BF" w:rsidRPr="00F43A21" w:rsidRDefault="002B78BF" w:rsidP="00F43A21">
      <w:pPr>
        <w:pStyle w:val="Textoindependiente"/>
        <w:widowControl w:val="0"/>
        <w:spacing w:before="120" w:after="60"/>
        <w:ind w:right="51"/>
        <w:rPr>
          <w:rFonts w:ascii="Arial Narrow" w:hAnsi="Arial Narrow"/>
        </w:rPr>
      </w:pPr>
      <w:r w:rsidRPr="00F43A21">
        <w:rPr>
          <w:rFonts w:ascii="Arial Narrow" w:hAnsi="Arial Narrow"/>
        </w:rPr>
        <w:t xml:space="preserve">El marco general </w:t>
      </w:r>
      <w:r w:rsidR="002A07AD">
        <w:rPr>
          <w:rFonts w:ascii="Arial Narrow" w:hAnsi="Arial Narrow"/>
        </w:rPr>
        <w:t>complementa la protección del área</w:t>
      </w:r>
      <w:r w:rsidRPr="00F43A21">
        <w:rPr>
          <w:rFonts w:ascii="Arial Narrow" w:hAnsi="Arial Narrow"/>
        </w:rPr>
        <w:t xml:space="preserve"> </w:t>
      </w:r>
      <w:r w:rsidR="002A07AD">
        <w:rPr>
          <w:rFonts w:ascii="Arial Narrow" w:hAnsi="Arial Narrow"/>
        </w:rPr>
        <w:t>con la declaratoria</w:t>
      </w:r>
      <w:r w:rsidRPr="00F43A21">
        <w:rPr>
          <w:rFonts w:ascii="Arial Narrow" w:hAnsi="Arial Narrow"/>
        </w:rPr>
        <w:t xml:space="preserve"> la ZRTA</w:t>
      </w:r>
      <w:r w:rsidR="002A07AD">
        <w:rPr>
          <w:rFonts w:ascii="Arial Narrow" w:hAnsi="Arial Narrow"/>
        </w:rPr>
        <w:t xml:space="preserve"> y permite dar cumplimiento al acuerdo del paro de octubre de 2024. </w:t>
      </w:r>
    </w:p>
    <w:p w14:paraId="36AC913A" w14:textId="77777777" w:rsidR="00281570" w:rsidRPr="00F43A21" w:rsidRDefault="00281570" w:rsidP="00F43A21">
      <w:pPr>
        <w:pStyle w:val="Textoindependiente"/>
        <w:widowControl w:val="0"/>
        <w:numPr>
          <w:ilvl w:val="0"/>
          <w:numId w:val="31"/>
        </w:numPr>
        <w:spacing w:before="120" w:after="60"/>
        <w:ind w:left="714" w:right="51" w:hanging="357"/>
        <w:rPr>
          <w:rFonts w:ascii="Arial Narrow" w:hAnsi="Arial Narrow"/>
          <w:b/>
          <w:bCs/>
        </w:rPr>
      </w:pPr>
      <w:r w:rsidRPr="00F43A21">
        <w:rPr>
          <w:rFonts w:ascii="Arial Narrow" w:hAnsi="Arial Narrow"/>
          <w:b/>
          <w:bCs/>
        </w:rPr>
        <w:t>Si ya existe una norma que regule el mismo tema, especifique según sea el caso</w:t>
      </w:r>
      <w:r w:rsidR="00023C4B" w:rsidRPr="00F43A21">
        <w:rPr>
          <w:rFonts w:ascii="Arial Narrow" w:hAnsi="Arial Narrow"/>
          <w:b/>
          <w:bCs/>
        </w:rPr>
        <w:t>,</w:t>
      </w:r>
      <w:r w:rsidRPr="00F43A21">
        <w:rPr>
          <w:rFonts w:ascii="Arial Narrow" w:hAnsi="Arial Narrow"/>
          <w:b/>
          <w:bCs/>
        </w:rPr>
        <w:t xml:space="preserve"> si el proyecto</w:t>
      </w:r>
      <w:r w:rsidR="00023C4B" w:rsidRPr="00F43A21">
        <w:rPr>
          <w:rFonts w:ascii="Arial Narrow" w:hAnsi="Arial Narrow"/>
          <w:b/>
          <w:bCs/>
        </w:rPr>
        <w:t xml:space="preserve"> normativo</w:t>
      </w:r>
      <w:r w:rsidRPr="00F43A21">
        <w:rPr>
          <w:rFonts w:ascii="Arial Narrow" w:hAnsi="Arial Narrow"/>
          <w:b/>
          <w:bCs/>
        </w:rPr>
        <w:t xml:space="preserve">: </w:t>
      </w:r>
    </w:p>
    <w:p w14:paraId="154C2076" w14:textId="77777777" w:rsidR="00281570" w:rsidRPr="00F43A21" w:rsidRDefault="00281570" w:rsidP="00F43A21">
      <w:pPr>
        <w:pStyle w:val="Textoindependiente"/>
        <w:widowControl w:val="0"/>
        <w:tabs>
          <w:tab w:val="left" w:pos="7797"/>
        </w:tabs>
        <w:spacing w:after="60"/>
        <w:ind w:left="709" w:right="51"/>
        <w:rPr>
          <w:rFonts w:ascii="Arial Narrow" w:hAnsi="Arial Narrow"/>
          <w:b/>
          <w:bCs/>
        </w:rPr>
      </w:pPr>
      <w:r w:rsidRPr="00F43A21">
        <w:rPr>
          <w:rFonts w:ascii="Arial Narrow" w:hAnsi="Arial Narrow"/>
          <w:b/>
          <w:bCs/>
        </w:rPr>
        <w:t>5.1. Deroga_</w:t>
      </w:r>
    </w:p>
    <w:p w14:paraId="2485FFCC" w14:textId="77777777" w:rsidR="00281570" w:rsidRPr="00F43A21" w:rsidRDefault="00281570" w:rsidP="00F43A21">
      <w:pPr>
        <w:pStyle w:val="Textoindependiente"/>
        <w:widowControl w:val="0"/>
        <w:tabs>
          <w:tab w:val="left" w:pos="7797"/>
        </w:tabs>
        <w:spacing w:after="60"/>
        <w:ind w:left="709" w:right="51"/>
        <w:rPr>
          <w:rFonts w:ascii="Arial Narrow" w:hAnsi="Arial Narrow"/>
          <w:b/>
          <w:bCs/>
        </w:rPr>
      </w:pPr>
      <w:r w:rsidRPr="00F43A21">
        <w:rPr>
          <w:rFonts w:ascii="Arial Narrow" w:hAnsi="Arial Narrow"/>
          <w:b/>
          <w:bCs/>
        </w:rPr>
        <w:t>5.2. Modifica_</w:t>
      </w:r>
    </w:p>
    <w:p w14:paraId="43B3000A" w14:textId="77777777" w:rsidR="00281570" w:rsidRPr="00F43A21" w:rsidRDefault="00281570" w:rsidP="00F43A21">
      <w:pPr>
        <w:pStyle w:val="Textoindependiente"/>
        <w:widowControl w:val="0"/>
        <w:tabs>
          <w:tab w:val="left" w:pos="7797"/>
        </w:tabs>
        <w:spacing w:after="60"/>
        <w:ind w:left="709" w:right="51"/>
        <w:rPr>
          <w:rFonts w:ascii="Arial Narrow" w:hAnsi="Arial Narrow"/>
          <w:b/>
          <w:bCs/>
        </w:rPr>
      </w:pPr>
      <w:r w:rsidRPr="00F43A21">
        <w:rPr>
          <w:rFonts w:ascii="Arial Narrow" w:hAnsi="Arial Narrow"/>
          <w:b/>
          <w:bCs/>
        </w:rPr>
        <w:lastRenderedPageBreak/>
        <w:t xml:space="preserve">5.3. Sustituye_ </w:t>
      </w:r>
    </w:p>
    <w:p w14:paraId="45154BAF" w14:textId="77777777" w:rsidR="00281570" w:rsidRPr="00F43A21" w:rsidRDefault="00281570" w:rsidP="00F43A21">
      <w:pPr>
        <w:pStyle w:val="Textoindependiente"/>
        <w:widowControl w:val="0"/>
        <w:tabs>
          <w:tab w:val="left" w:pos="7797"/>
        </w:tabs>
        <w:spacing w:before="120" w:after="60"/>
        <w:ind w:right="51"/>
        <w:rPr>
          <w:rFonts w:ascii="Arial Narrow" w:hAnsi="Arial Narrow"/>
        </w:rPr>
      </w:pPr>
      <w:r w:rsidRPr="00F43A21">
        <w:rPr>
          <w:rFonts w:ascii="Arial Narrow" w:hAnsi="Arial Narrow"/>
        </w:rPr>
        <w:t>Si contesta 5.1., 5.2. o 5.3., identifique la norma correspondiente, fecha de expedición</w:t>
      </w:r>
      <w:r w:rsidR="00B10F02" w:rsidRPr="00F43A21">
        <w:rPr>
          <w:rFonts w:ascii="Arial Narrow" w:hAnsi="Arial Narrow"/>
        </w:rPr>
        <w:t>,</w:t>
      </w:r>
      <w:r w:rsidRPr="00F43A21">
        <w:rPr>
          <w:rFonts w:ascii="Arial Narrow" w:hAnsi="Arial Narrow"/>
        </w:rPr>
        <w:t xml:space="preserve"> vigencia</w:t>
      </w:r>
      <w:r w:rsidR="00B10F02" w:rsidRPr="00F43A21">
        <w:rPr>
          <w:rFonts w:ascii="Arial Narrow" w:hAnsi="Arial Narrow"/>
        </w:rPr>
        <w:t> y justifique el porqué de la derogación, modificación o sustitución.</w:t>
      </w:r>
      <w:r w:rsidRPr="00F43A21">
        <w:rPr>
          <w:rFonts w:ascii="Arial Narrow" w:hAnsi="Arial Narrow"/>
        </w:rPr>
        <w:t xml:space="preserve"> </w:t>
      </w:r>
    </w:p>
    <w:p w14:paraId="5D05606C" w14:textId="77777777" w:rsidR="002B78BF" w:rsidRPr="00F43A21" w:rsidRDefault="002B78BF" w:rsidP="00F43A21">
      <w:pPr>
        <w:pStyle w:val="Textoindependiente"/>
        <w:widowControl w:val="0"/>
        <w:tabs>
          <w:tab w:val="left" w:pos="7797"/>
        </w:tabs>
        <w:spacing w:before="120" w:after="60"/>
        <w:ind w:right="51"/>
        <w:rPr>
          <w:rFonts w:ascii="Arial Narrow" w:hAnsi="Arial Narrow"/>
        </w:rPr>
      </w:pPr>
      <w:r w:rsidRPr="00F43A21">
        <w:rPr>
          <w:rFonts w:ascii="Arial Narrow" w:hAnsi="Arial Narrow"/>
        </w:rPr>
        <w:t>El marco general (DL 2811/1974, D. 044/2024) habilita la reserva, pero no protege por sí solo un área concreta hasta que se expida el acto que declare la ZRTA para ese territorio. Por eso, sin la resolución específica, persiste el riesgo de nuevas solicitudes mineras y la incertidumbre para la gestión local.</w:t>
      </w:r>
    </w:p>
    <w:p w14:paraId="325105FF" w14:textId="77777777" w:rsidR="002B78BF" w:rsidRPr="00F43A21" w:rsidRDefault="002B78BF" w:rsidP="00F43A21">
      <w:pPr>
        <w:pStyle w:val="Textoindependiente"/>
        <w:widowControl w:val="0"/>
        <w:tabs>
          <w:tab w:val="left" w:pos="7797"/>
        </w:tabs>
        <w:spacing w:before="120" w:after="60"/>
        <w:ind w:right="51"/>
        <w:rPr>
          <w:rFonts w:ascii="Arial Narrow" w:hAnsi="Arial Narrow"/>
        </w:rPr>
      </w:pPr>
      <w:r w:rsidRPr="00F43A21">
        <w:rPr>
          <w:rFonts w:ascii="Arial Narrow" w:hAnsi="Arial Narrow"/>
        </w:rPr>
        <w:t>5.1. Deroga: No. En las mesas, el Ministerio fue enfático en que no puede derogarse ni modificarse por resolución una ley o un decreto; y frente a actos previos, no se proyecta derogatoria expresa.</w:t>
      </w:r>
    </w:p>
    <w:p w14:paraId="695FDDA7" w14:textId="77777777" w:rsidR="002B78BF" w:rsidRPr="00F43A21" w:rsidRDefault="002B78BF" w:rsidP="00F43A21">
      <w:pPr>
        <w:pStyle w:val="Textoindependiente"/>
        <w:widowControl w:val="0"/>
        <w:tabs>
          <w:tab w:val="left" w:pos="7797"/>
        </w:tabs>
        <w:spacing w:before="120" w:after="60"/>
        <w:ind w:right="51"/>
        <w:rPr>
          <w:rFonts w:ascii="Arial Narrow" w:hAnsi="Arial Narrow"/>
        </w:rPr>
      </w:pPr>
      <w:r w:rsidRPr="00F43A21">
        <w:rPr>
          <w:rFonts w:ascii="Arial Narrow" w:hAnsi="Arial Narrow"/>
        </w:rPr>
        <w:t>5.2. Modifica: No. La ZRTA no modifica determinantes ambientales vigentes ni sustituye el proceso de delimitación; su función es precautoria y temporal (evitar nuevas concesiones mineras)</w:t>
      </w:r>
      <w:r w:rsidR="004E6082">
        <w:rPr>
          <w:rFonts w:ascii="Arial Narrow" w:hAnsi="Arial Narrow"/>
        </w:rPr>
        <w:t xml:space="preserve"> y no se traslapa el área que se declara, con los resguardos indígenas. </w:t>
      </w:r>
    </w:p>
    <w:p w14:paraId="1DC73D97" w14:textId="77777777" w:rsidR="002B78BF" w:rsidRPr="00F43A21" w:rsidRDefault="002B78BF" w:rsidP="00F43A21">
      <w:pPr>
        <w:pStyle w:val="Textoindependiente"/>
        <w:widowControl w:val="0"/>
        <w:tabs>
          <w:tab w:val="left" w:pos="7797"/>
        </w:tabs>
        <w:spacing w:before="120" w:after="60"/>
        <w:ind w:right="51"/>
        <w:rPr>
          <w:rFonts w:ascii="Arial Narrow" w:hAnsi="Arial Narrow"/>
        </w:rPr>
      </w:pPr>
      <w:r w:rsidRPr="00F43A21">
        <w:rPr>
          <w:rFonts w:ascii="Arial Narrow" w:hAnsi="Arial Narrow"/>
        </w:rPr>
        <w:t xml:space="preserve">5.3. Sustituye: No (formalmente). Funcionalmente, la ZRTA cubre </w:t>
      </w:r>
      <w:r w:rsidR="004E6082">
        <w:rPr>
          <w:rFonts w:ascii="Arial Narrow" w:hAnsi="Arial Narrow"/>
        </w:rPr>
        <w:t xml:space="preserve">la incertidumbre que generó el juez encargado del seguimiento respecto al proceso de delimitación participativa, en el marco de la acción constitucional que cuestiona la </w:t>
      </w:r>
      <w:r w:rsidRPr="00F43A21">
        <w:rPr>
          <w:rFonts w:ascii="Arial Narrow" w:hAnsi="Arial Narrow"/>
        </w:rPr>
        <w:t>Res. 152 de 2018 (31 de enero de 2018), dejada sin efecto por el Tribunal el 3 de septiembre de 2019; pero no la “sustituye” jurídicamente, porque esa delimitación</w:t>
      </w:r>
      <w:r w:rsidR="004E6082">
        <w:rPr>
          <w:rFonts w:ascii="Arial Narrow" w:hAnsi="Arial Narrow"/>
        </w:rPr>
        <w:t xml:space="preserve"> es objeto de revisión</w:t>
      </w:r>
      <w:r w:rsidRPr="00F43A21">
        <w:rPr>
          <w:rFonts w:ascii="Arial Narrow" w:hAnsi="Arial Narrow"/>
        </w:rPr>
        <w:t>. La ZRTA actúa mientras se adopta la nueva delimitación participativa en cumplimiento de una orden judicial</w:t>
      </w:r>
      <w:r w:rsidR="0065093E" w:rsidRPr="00F43A21">
        <w:rPr>
          <w:rFonts w:ascii="Arial Narrow" w:hAnsi="Arial Narrow"/>
        </w:rPr>
        <w:t xml:space="preserve">, </w:t>
      </w:r>
      <w:r w:rsidR="004E6082">
        <w:rPr>
          <w:rFonts w:ascii="Arial Narrow" w:hAnsi="Arial Narrow"/>
        </w:rPr>
        <w:t xml:space="preserve">y de esta manera </w:t>
      </w:r>
      <w:r w:rsidRPr="00F43A21">
        <w:rPr>
          <w:rFonts w:ascii="Arial Narrow" w:hAnsi="Arial Narrow"/>
        </w:rPr>
        <w:t>se evita una falsa sustitución normativa y se preserva la jerarquía y alcance de cada instrumento.</w:t>
      </w:r>
    </w:p>
    <w:p w14:paraId="7F928F3C" w14:textId="77777777" w:rsidR="00281570" w:rsidRPr="00F43A21" w:rsidRDefault="00281570" w:rsidP="00F43A21">
      <w:pPr>
        <w:pStyle w:val="Textoindependiente"/>
        <w:widowControl w:val="0"/>
        <w:numPr>
          <w:ilvl w:val="0"/>
          <w:numId w:val="31"/>
        </w:numPr>
        <w:spacing w:before="120" w:after="60"/>
        <w:ind w:left="714" w:right="51" w:hanging="357"/>
        <w:rPr>
          <w:rFonts w:ascii="Arial Narrow" w:hAnsi="Arial Narrow"/>
          <w:b/>
          <w:bCs/>
        </w:rPr>
      </w:pPr>
      <w:r w:rsidRPr="00F43A21">
        <w:rPr>
          <w:rFonts w:ascii="Arial Narrow" w:hAnsi="Arial Narrow"/>
          <w:b/>
          <w:bCs/>
        </w:rPr>
        <w:t xml:space="preserve">Indique la(s) disposición(es) de orden constitucional o legal </w:t>
      </w:r>
      <w:r w:rsidR="00023C4B" w:rsidRPr="00F43A21">
        <w:rPr>
          <w:rFonts w:ascii="Arial Narrow" w:hAnsi="Arial Narrow"/>
          <w:b/>
          <w:bCs/>
        </w:rPr>
        <w:t xml:space="preserve">que </w:t>
      </w:r>
      <w:r w:rsidRPr="00F43A21">
        <w:rPr>
          <w:rFonts w:ascii="Arial Narrow" w:hAnsi="Arial Narrow"/>
          <w:b/>
          <w:bCs/>
        </w:rPr>
        <w:t>otorga</w:t>
      </w:r>
      <w:r w:rsidR="00023C4B" w:rsidRPr="00F43A21">
        <w:rPr>
          <w:rFonts w:ascii="Arial Narrow" w:hAnsi="Arial Narrow"/>
          <w:b/>
          <w:bCs/>
        </w:rPr>
        <w:t>(n)</w:t>
      </w:r>
      <w:r w:rsidRPr="00F43A21">
        <w:rPr>
          <w:rFonts w:ascii="Arial Narrow" w:hAnsi="Arial Narrow"/>
          <w:b/>
          <w:bCs/>
        </w:rPr>
        <w:t xml:space="preserve"> la competencia para expedir el </w:t>
      </w:r>
      <w:r w:rsidR="00023C4B" w:rsidRPr="00F43A21">
        <w:rPr>
          <w:rFonts w:ascii="Arial Narrow" w:hAnsi="Arial Narrow"/>
          <w:b/>
          <w:bCs/>
        </w:rPr>
        <w:t xml:space="preserve">decreto </w:t>
      </w:r>
      <w:r w:rsidRPr="00F43A21">
        <w:rPr>
          <w:rFonts w:ascii="Arial Narrow" w:hAnsi="Arial Narrow"/>
          <w:b/>
          <w:bCs/>
        </w:rPr>
        <w:t xml:space="preserve">o resolución </w:t>
      </w:r>
      <w:r w:rsidR="00BA6E34" w:rsidRPr="00F43A21">
        <w:rPr>
          <w:rFonts w:ascii="Arial Narrow" w:hAnsi="Arial Narrow"/>
          <w:b/>
          <w:bCs/>
        </w:rPr>
        <w:t>(</w:t>
      </w:r>
      <w:r w:rsidRPr="00F43A21">
        <w:rPr>
          <w:rFonts w:ascii="Arial Narrow" w:hAnsi="Arial Narrow"/>
          <w:b/>
          <w:bCs/>
        </w:rPr>
        <w:t xml:space="preserve">si no existe, no podrá seguir adelante con el trámite elaboración del </w:t>
      </w:r>
      <w:r w:rsidR="00023C4B" w:rsidRPr="00F43A21">
        <w:rPr>
          <w:rFonts w:ascii="Arial Narrow" w:hAnsi="Arial Narrow"/>
          <w:b/>
          <w:bCs/>
        </w:rPr>
        <w:t xml:space="preserve">proyecto </w:t>
      </w:r>
      <w:r w:rsidRPr="00F43A21">
        <w:rPr>
          <w:rFonts w:ascii="Arial Narrow" w:hAnsi="Arial Narrow"/>
          <w:b/>
          <w:bCs/>
        </w:rPr>
        <w:t>normativo</w:t>
      </w:r>
      <w:r w:rsidR="00BA6E34" w:rsidRPr="00F43A21">
        <w:rPr>
          <w:rFonts w:ascii="Arial Narrow" w:hAnsi="Arial Narrow"/>
          <w:b/>
          <w:bCs/>
        </w:rPr>
        <w:t>)</w:t>
      </w:r>
      <w:r w:rsidRPr="00F43A21">
        <w:rPr>
          <w:rFonts w:ascii="Arial Narrow" w:hAnsi="Arial Narrow"/>
          <w:b/>
          <w:bCs/>
        </w:rPr>
        <w:t>.</w:t>
      </w:r>
    </w:p>
    <w:p w14:paraId="348DF8A5" w14:textId="77777777" w:rsidR="0065093E" w:rsidRPr="00F43A21" w:rsidRDefault="0065093E" w:rsidP="00F43A21">
      <w:pPr>
        <w:pStyle w:val="Textoindependiente"/>
        <w:widowControl w:val="0"/>
        <w:spacing w:before="120" w:after="60"/>
        <w:ind w:right="51"/>
        <w:rPr>
          <w:rFonts w:ascii="Arial Narrow" w:hAnsi="Arial Narrow"/>
        </w:rPr>
      </w:pPr>
      <w:r w:rsidRPr="00F43A21">
        <w:rPr>
          <w:rFonts w:ascii="Arial Narrow" w:hAnsi="Arial Narrow"/>
        </w:rPr>
        <w:t>Constitución Política: arts. 8, 79, 80, 332 y 334 (protección de riquezas naturales; deber de prevenir y controlar el deterioro ambiental; dirección estatal de los recursos). Estos fundamentos se citan en el borrador de considerandos.</w:t>
      </w:r>
    </w:p>
    <w:p w14:paraId="4588918E" w14:textId="77777777" w:rsidR="0065093E" w:rsidRPr="00F43A21" w:rsidRDefault="0065093E" w:rsidP="00F43A21">
      <w:pPr>
        <w:pStyle w:val="Textoindependiente"/>
        <w:widowControl w:val="0"/>
        <w:spacing w:before="120" w:after="60"/>
        <w:ind w:right="51"/>
        <w:rPr>
          <w:rFonts w:ascii="Arial Narrow" w:hAnsi="Arial Narrow"/>
        </w:rPr>
      </w:pPr>
      <w:r w:rsidRPr="00F43A21">
        <w:rPr>
          <w:rFonts w:ascii="Arial Narrow" w:hAnsi="Arial Narrow"/>
        </w:rPr>
        <w:t>Decreto</w:t>
      </w:r>
      <w:r w:rsidRPr="00F43A21">
        <w:rPr>
          <w:rFonts w:ascii="Cambria Math" w:hAnsi="Cambria Math" w:cs="Cambria Math"/>
        </w:rPr>
        <w:t>‑</w:t>
      </w:r>
      <w:r w:rsidRPr="00F43A21">
        <w:rPr>
          <w:rFonts w:ascii="Arial Narrow" w:hAnsi="Arial Narrow"/>
        </w:rPr>
        <w:t>Ley 2811 de 1974 (C</w:t>
      </w:r>
      <w:r w:rsidRPr="00F43A21">
        <w:rPr>
          <w:rFonts w:ascii="Arial Narrow" w:hAnsi="Arial Narrow" w:cs="Arial Narrow"/>
        </w:rPr>
        <w:t>ó</w:t>
      </w:r>
      <w:r w:rsidRPr="00F43A21">
        <w:rPr>
          <w:rFonts w:ascii="Arial Narrow" w:hAnsi="Arial Narrow"/>
        </w:rPr>
        <w:t>digo de Recursos Naturales), art. 47: faculta a la autoridad ambiental para declarar zonas de reserva de recursos naturales; durante la reserva, se excluyen concesiones/uso a particulares. Fuente directa de competencia para una resoluci</w:t>
      </w:r>
      <w:r w:rsidRPr="00F43A21">
        <w:rPr>
          <w:rFonts w:ascii="Arial Narrow" w:hAnsi="Arial Narrow" w:cs="Arial Narrow"/>
        </w:rPr>
        <w:t>ó</w:t>
      </w:r>
      <w:r w:rsidRPr="00F43A21">
        <w:rPr>
          <w:rFonts w:ascii="Arial Narrow" w:hAnsi="Arial Narrow"/>
        </w:rPr>
        <w:t>n de ZRTA.</w:t>
      </w:r>
    </w:p>
    <w:p w14:paraId="2344D698" w14:textId="77777777" w:rsidR="0065093E" w:rsidRPr="00F43A21" w:rsidRDefault="0065093E" w:rsidP="00F43A21">
      <w:pPr>
        <w:pStyle w:val="Textoindependiente"/>
        <w:widowControl w:val="0"/>
        <w:spacing w:before="120" w:after="60"/>
        <w:ind w:right="51"/>
        <w:rPr>
          <w:rFonts w:ascii="Arial Narrow" w:hAnsi="Arial Narrow"/>
        </w:rPr>
      </w:pPr>
      <w:r w:rsidRPr="00F43A21">
        <w:rPr>
          <w:rFonts w:ascii="Arial Narrow" w:hAnsi="Arial Narrow"/>
        </w:rPr>
        <w:t xml:space="preserve">Ley 99 de 1993 (arts. de principios y funciones del </w:t>
      </w:r>
      <w:proofErr w:type="spellStart"/>
      <w:r w:rsidRPr="00F43A21">
        <w:rPr>
          <w:rFonts w:ascii="Arial Narrow" w:hAnsi="Arial Narrow"/>
        </w:rPr>
        <w:t>MinAmbiente</w:t>
      </w:r>
      <w:proofErr w:type="spellEnd"/>
      <w:r w:rsidRPr="00F43A21">
        <w:rPr>
          <w:rFonts w:ascii="Arial Narrow" w:hAnsi="Arial Narrow"/>
        </w:rPr>
        <w:t>): incorpora el principio de precaución y asigna funciones regulatorias al Ministerio (los numerales del art. 5 se citan en el borrador).</w:t>
      </w:r>
    </w:p>
    <w:p w14:paraId="22E94F2D" w14:textId="77777777" w:rsidR="0065093E" w:rsidRPr="00F43A21" w:rsidRDefault="0065093E" w:rsidP="00F43A21">
      <w:pPr>
        <w:pStyle w:val="Textoindependiente"/>
        <w:widowControl w:val="0"/>
        <w:spacing w:before="120" w:after="60"/>
        <w:ind w:right="51"/>
        <w:rPr>
          <w:rFonts w:ascii="Arial Narrow" w:hAnsi="Arial Narrow"/>
        </w:rPr>
      </w:pPr>
      <w:r w:rsidRPr="00F43A21">
        <w:rPr>
          <w:rFonts w:ascii="Arial Narrow" w:hAnsi="Arial Narrow"/>
        </w:rPr>
        <w:t>Decreto</w:t>
      </w:r>
      <w:r w:rsidRPr="00F43A21">
        <w:rPr>
          <w:rFonts w:ascii="Cambria Math" w:hAnsi="Cambria Math" w:cs="Cambria Math"/>
        </w:rPr>
        <w:t>‑</w:t>
      </w:r>
      <w:r w:rsidRPr="00F43A21">
        <w:rPr>
          <w:rFonts w:ascii="Arial Narrow" w:hAnsi="Arial Narrow"/>
        </w:rPr>
        <w:t xml:space="preserve">Ley 3570 de 2011: ordena el sector y precisa competencias del Ministerio </w:t>
      </w:r>
    </w:p>
    <w:p w14:paraId="6B8F2F89" w14:textId="77777777" w:rsidR="0065093E" w:rsidRPr="00F43A21" w:rsidRDefault="0065093E" w:rsidP="00F43A21">
      <w:pPr>
        <w:pStyle w:val="Textoindependiente"/>
        <w:widowControl w:val="0"/>
        <w:spacing w:before="120" w:after="60"/>
        <w:ind w:right="51"/>
        <w:rPr>
          <w:rFonts w:ascii="Arial Narrow" w:hAnsi="Arial Narrow"/>
        </w:rPr>
      </w:pPr>
      <w:r w:rsidRPr="00F43A21">
        <w:rPr>
          <w:rFonts w:ascii="Arial Narrow" w:hAnsi="Arial Narrow"/>
          <w:b/>
          <w:bCs/>
        </w:rPr>
        <w:t>Conclusión de competencia:</w:t>
      </w:r>
      <w:r w:rsidRPr="00F43A21">
        <w:rPr>
          <w:rFonts w:ascii="Arial Narrow" w:hAnsi="Arial Narrow"/>
        </w:rPr>
        <w:t xml:space="preserve"> El </w:t>
      </w:r>
      <w:proofErr w:type="spellStart"/>
      <w:r w:rsidRPr="00F43A21">
        <w:rPr>
          <w:rFonts w:ascii="Arial Narrow" w:hAnsi="Arial Narrow"/>
        </w:rPr>
        <w:t>MinAmbiente</w:t>
      </w:r>
      <w:proofErr w:type="spellEnd"/>
      <w:r w:rsidRPr="00F43A21">
        <w:rPr>
          <w:rFonts w:ascii="Arial Narrow" w:hAnsi="Arial Narrow"/>
        </w:rPr>
        <w:t xml:space="preserve"> tiene competencia expresa y suficiente para expedir la resolución que declara la ZRTA del Almorzadero, con fundamento principal en el art. 47 del DL 2811/1974 en armonía con la CP y la Ley 99</w:t>
      </w:r>
      <w:r w:rsidR="004E6082">
        <w:rPr>
          <w:rFonts w:ascii="Arial Narrow" w:hAnsi="Arial Narrow"/>
        </w:rPr>
        <w:t xml:space="preserve"> de </w:t>
      </w:r>
      <w:r w:rsidRPr="00F43A21">
        <w:rPr>
          <w:rFonts w:ascii="Arial Narrow" w:hAnsi="Arial Narrow"/>
        </w:rPr>
        <w:t>1993.</w:t>
      </w:r>
    </w:p>
    <w:sectPr w:rsidR="0065093E" w:rsidRPr="00F43A21" w:rsidSect="00D20980">
      <w:headerReference w:type="default" r:id="rId7"/>
      <w:footerReference w:type="even" r:id="rId8"/>
      <w:footerReference w:type="default" r:id="rId9"/>
      <w:pgSz w:w="12242" w:h="15842" w:code="1"/>
      <w:pgMar w:top="1985" w:right="1701" w:bottom="1134"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9A1C" w14:textId="77777777" w:rsidR="006728B8" w:rsidRDefault="006728B8">
      <w:r>
        <w:separator/>
      </w:r>
    </w:p>
  </w:endnote>
  <w:endnote w:type="continuationSeparator" w:id="0">
    <w:p w14:paraId="2F439633" w14:textId="77777777" w:rsidR="006728B8" w:rsidRDefault="0067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B9CF" w14:textId="77777777" w:rsidR="00023C4B" w:rsidRDefault="00023C4B" w:rsidP="00EA34C5">
    <w:pPr>
      <w:pStyle w:val="Piedepgina"/>
      <w:framePr w:wrap="around" w:vAnchor="text" w:hAnchor="margin" w:xAlign="right" w:y="1"/>
      <w:rPr>
        <w:rStyle w:val="Nmerodepgina"/>
      </w:rPr>
    </w:pPr>
    <w:r>
      <w:rPr>
        <w:rStyle w:val="Nmerodepgina"/>
      </w:rPr>
      <w:fldChar w:fldCharType="begin"/>
    </w:r>
    <w:r w:rsidR="001F6413">
      <w:rPr>
        <w:rStyle w:val="Nmerodepgina"/>
      </w:rPr>
      <w:instrText>PAGE</w:instrText>
    </w:r>
    <w:r>
      <w:rPr>
        <w:rStyle w:val="Nmerodepgina"/>
      </w:rPr>
      <w:instrText xml:space="preserve">  </w:instrText>
    </w:r>
    <w:r>
      <w:rPr>
        <w:rStyle w:val="Nmerodepgina"/>
      </w:rPr>
      <w:fldChar w:fldCharType="end"/>
    </w:r>
  </w:p>
  <w:p w14:paraId="63D0FF82" w14:textId="77777777" w:rsidR="00023C4B" w:rsidRDefault="00023C4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4AF" w14:textId="77777777" w:rsidR="00023C4B" w:rsidRDefault="00023C4B" w:rsidP="00EE53F7">
    <w:pPr>
      <w:pStyle w:val="Piedepgina"/>
      <w:ind w:right="360"/>
      <w:jc w:val="right"/>
      <w:rPr>
        <w:rFonts w:ascii="Arial Narrow" w:hAnsi="Arial Narrow"/>
        <w:color w:val="000000"/>
        <w:sz w:val="14"/>
        <w:szCs w:val="14"/>
      </w:rPr>
    </w:pPr>
  </w:p>
  <w:p w14:paraId="157A983E" w14:textId="77777777" w:rsidR="00177FD8" w:rsidRPr="002F32A6" w:rsidRDefault="00177FD8" w:rsidP="00177FD8">
    <w:pPr>
      <w:pStyle w:val="Piedepgina"/>
      <w:tabs>
        <w:tab w:val="left" w:pos="3555"/>
      </w:tabs>
      <w:jc w:val="both"/>
      <w:rPr>
        <w:rFonts w:ascii="Arial Narrow" w:hAnsi="Arial Narrow"/>
        <w:sz w:val="18"/>
        <w:szCs w:val="18"/>
      </w:rPr>
    </w:pPr>
    <w:bookmarkStart w:id="0" w:name="_Hlk73017699"/>
    <w:bookmarkStart w:id="1" w:name="_Hlk73017700"/>
    <w:bookmarkStart w:id="2" w:name="_Hlk73092328"/>
    <w:bookmarkStart w:id="3" w:name="_Hlk73092329"/>
    <w:bookmarkStart w:id="4" w:name="_Hlk73094068"/>
    <w:bookmarkStart w:id="5" w:name="_Hlk73094069"/>
    <w:bookmarkStart w:id="6" w:name="_Hlk73101471"/>
    <w:bookmarkStart w:id="7" w:name="_Hlk73101472"/>
    <w:bookmarkStart w:id="8" w:name="_Hlk73101500"/>
    <w:bookmarkStart w:id="9" w:name="_Hlk73101501"/>
    <w:bookmarkStart w:id="10" w:name="_Hlk73103659"/>
    <w:bookmarkStart w:id="11" w:name="_Hlk73103660"/>
    <w:bookmarkStart w:id="12" w:name="_Hlk73103684"/>
    <w:bookmarkStart w:id="13" w:name="_Hlk73103685"/>
    <w:bookmarkStart w:id="14" w:name="_Hlk73104640"/>
    <w:bookmarkStart w:id="15" w:name="_Hlk73104641"/>
    <w:bookmarkStart w:id="16" w:name="_Hlk73106422"/>
    <w:bookmarkStart w:id="17" w:name="_Hlk73106423"/>
    <w:bookmarkStart w:id="18" w:name="_Hlk73107204"/>
    <w:bookmarkStart w:id="19" w:name="_Hlk73107205"/>
    <w:r w:rsidRPr="002F32A6">
      <w:rPr>
        <w:rFonts w:ascii="Arial Narrow" w:hAnsi="Arial Narrow"/>
        <w:sz w:val="18"/>
        <w:szCs w:val="18"/>
      </w:rPr>
      <w:t xml:space="preserve">Calle 37 No. 8 – 40 </w:t>
    </w:r>
  </w:p>
  <w:p w14:paraId="1B2F2DC2" w14:textId="77777777" w:rsidR="00177FD8" w:rsidRPr="002F32A6" w:rsidRDefault="00177FD8" w:rsidP="00177FD8">
    <w:pPr>
      <w:pStyle w:val="Piedepgina"/>
      <w:tabs>
        <w:tab w:val="left" w:pos="3555"/>
      </w:tabs>
      <w:jc w:val="both"/>
      <w:rPr>
        <w:rFonts w:ascii="Arial Narrow" w:hAnsi="Arial Narrow"/>
        <w:sz w:val="18"/>
        <w:szCs w:val="18"/>
      </w:rPr>
    </w:pPr>
    <w:r>
      <w:rPr>
        <w:rFonts w:ascii="Arial Narrow" w:hAnsi="Arial Narrow"/>
        <w:sz w:val="18"/>
        <w:szCs w:val="18"/>
      </w:rPr>
      <w:t>Conmutador +57</w:t>
    </w:r>
    <w:r w:rsidRPr="002F32A6">
      <w:rPr>
        <w:rFonts w:ascii="Arial Narrow" w:hAnsi="Arial Narrow"/>
        <w:sz w:val="18"/>
        <w:szCs w:val="18"/>
      </w:rPr>
      <w:t xml:space="preserve"> </w:t>
    </w:r>
    <w:r>
      <w:rPr>
        <w:rFonts w:ascii="Arial Narrow" w:hAnsi="Arial Narrow"/>
        <w:sz w:val="18"/>
        <w:szCs w:val="18"/>
      </w:rPr>
      <w:t>601</w:t>
    </w:r>
    <w:r w:rsidRPr="002F32A6">
      <w:rPr>
        <w:rFonts w:ascii="Arial Narrow" w:hAnsi="Arial Narrow"/>
        <w:sz w:val="18"/>
        <w:szCs w:val="18"/>
      </w:rPr>
      <w:t xml:space="preserve">3323400 </w:t>
    </w:r>
  </w:p>
  <w:p w14:paraId="7BFB3DE5" w14:textId="77777777" w:rsidR="00177FD8" w:rsidRPr="002F32A6" w:rsidRDefault="00177FD8" w:rsidP="00177FD8">
    <w:pPr>
      <w:pStyle w:val="Piedepgina"/>
      <w:tabs>
        <w:tab w:val="left" w:pos="3555"/>
      </w:tabs>
      <w:jc w:val="both"/>
      <w:rPr>
        <w:rFonts w:ascii="Arial Narrow" w:hAnsi="Arial Narrow"/>
        <w:sz w:val="18"/>
        <w:szCs w:val="18"/>
      </w:rPr>
    </w:pPr>
    <w:hyperlink r:id="rId1" w:history="1">
      <w:r w:rsidRPr="002F32A6">
        <w:rPr>
          <w:rStyle w:val="Hipervnculo"/>
          <w:rFonts w:ascii="Arial Narrow" w:hAnsi="Arial Narrow"/>
          <w:sz w:val="18"/>
          <w:szCs w:val="18"/>
        </w:rPr>
        <w:t>www.minambiente.gov.co</w:t>
      </w:r>
    </w:hyperlink>
  </w:p>
  <w:p w14:paraId="708272E6" w14:textId="77777777" w:rsidR="00177FD8" w:rsidRDefault="00177FD8" w:rsidP="00177FD8">
    <w:pPr>
      <w:pStyle w:val="Piedepgina"/>
      <w:tabs>
        <w:tab w:val="left" w:pos="3555"/>
      </w:tabs>
      <w:jc w:val="both"/>
      <w:rPr>
        <w:rFonts w:ascii="Arial Narrow" w:hAnsi="Arial Narrow"/>
        <w:sz w:val="18"/>
        <w:szCs w:val="18"/>
      </w:rPr>
    </w:pPr>
    <w:r w:rsidRPr="002F32A6">
      <w:rPr>
        <w:rFonts w:ascii="Arial Narrow" w:hAnsi="Arial Narrow"/>
        <w:sz w:val="18"/>
        <w:szCs w:val="18"/>
      </w:rPr>
      <w:t>Bogotá, Colombia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E2A6" w14:textId="77777777" w:rsidR="006728B8" w:rsidRDefault="006728B8">
      <w:r>
        <w:separator/>
      </w:r>
    </w:p>
  </w:footnote>
  <w:footnote w:type="continuationSeparator" w:id="0">
    <w:p w14:paraId="65321461" w14:textId="77777777" w:rsidR="006728B8" w:rsidRDefault="0067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933"/>
      <w:gridCol w:w="1843"/>
    </w:tblGrid>
    <w:tr w:rsidR="00D20980" w:rsidRPr="009E07BE" w14:paraId="71262586" w14:textId="77777777" w:rsidTr="00621FB4">
      <w:trPr>
        <w:cantSplit/>
        <w:trHeight w:val="313"/>
      </w:trPr>
      <w:tc>
        <w:tcPr>
          <w:tcW w:w="2722" w:type="dxa"/>
          <w:vMerge w:val="restart"/>
          <w:vAlign w:val="center"/>
        </w:tcPr>
        <w:p w14:paraId="5C51D059" w14:textId="77777777" w:rsidR="00D20980" w:rsidRPr="001D62F3" w:rsidRDefault="00D20980" w:rsidP="00D20980">
          <w:pPr>
            <w:jc w:val="center"/>
            <w:rPr>
              <w:rFonts w:ascii="Arial Narrow" w:hAnsi="Arial Narrow" w:cs="Arial"/>
              <w:bCs/>
              <w:spacing w:val="-6"/>
              <w:sz w:val="18"/>
            </w:rPr>
          </w:pPr>
          <w:r w:rsidRPr="001D62F3">
            <w:rPr>
              <w:rFonts w:ascii="Arial Narrow" w:hAnsi="Arial Narrow" w:cs="Arial"/>
              <w:bCs/>
              <w:spacing w:val="-6"/>
              <w:sz w:val="18"/>
            </w:rPr>
            <w:t>MINISTERIO DE AMBIENTE Y DESARROLLO SOSTENIBLE</w:t>
          </w:r>
        </w:p>
      </w:tc>
      <w:tc>
        <w:tcPr>
          <w:tcW w:w="4933" w:type="dxa"/>
          <w:shd w:val="clear" w:color="auto" w:fill="154A8A"/>
          <w:vAlign w:val="center"/>
        </w:tcPr>
        <w:p w14:paraId="49B2D766" w14:textId="77777777" w:rsidR="00D20980" w:rsidRPr="001D62F3" w:rsidRDefault="00D20980" w:rsidP="00D20980">
          <w:pPr>
            <w:spacing w:before="60"/>
            <w:ind w:right="-40"/>
            <w:jc w:val="center"/>
            <w:rPr>
              <w:rFonts w:ascii="Arial Narrow" w:hAnsi="Arial Narrow" w:cs="Arial"/>
              <w:b/>
              <w:bCs/>
              <w:spacing w:val="-6"/>
              <w:sz w:val="20"/>
            </w:rPr>
          </w:pPr>
          <w:r w:rsidRPr="00D20980">
            <w:rPr>
              <w:rFonts w:ascii="Arial Narrow" w:hAnsi="Arial Narrow" w:cs="Arial"/>
              <w:b/>
              <w:bCs/>
              <w:color w:val="FFFFFF"/>
              <w:spacing w:val="-6"/>
              <w:sz w:val="20"/>
            </w:rPr>
            <w:t>PRESENTACIÓN DE INICIATIVA NORMATIVA PROPUESTA</w:t>
          </w:r>
        </w:p>
      </w:tc>
      <w:tc>
        <w:tcPr>
          <w:tcW w:w="1843" w:type="dxa"/>
          <w:vMerge w:val="restart"/>
          <w:vAlign w:val="center"/>
        </w:tcPr>
        <w:p w14:paraId="6CFE4190" w14:textId="6C7BBBB9" w:rsidR="00D20980" w:rsidRPr="001D62F3" w:rsidRDefault="008F340F" w:rsidP="00D20980">
          <w:pPr>
            <w:ind w:right="-42"/>
            <w:jc w:val="center"/>
            <w:rPr>
              <w:rFonts w:ascii="Arial Narrow" w:hAnsi="Arial Narrow" w:cs="Arial"/>
              <w:b/>
              <w:bCs/>
              <w:spacing w:val="-6"/>
              <w:sz w:val="20"/>
            </w:rPr>
          </w:pPr>
          <w:r w:rsidRPr="00ED2427">
            <w:rPr>
              <w:rFonts w:ascii="Arial Narrow" w:hAnsi="Arial Narrow" w:cs="Arial"/>
              <w:b/>
              <w:noProof/>
              <w:spacing w:val="-6"/>
              <w:sz w:val="20"/>
              <w:lang w:val="es-CO" w:eastAsia="es-CO"/>
            </w:rPr>
            <w:drawing>
              <wp:inline distT="0" distB="0" distL="0" distR="0" wp14:anchorId="3A117D0F" wp14:editId="34A9ADC2">
                <wp:extent cx="1051560" cy="327660"/>
                <wp:effectExtent l="0" t="0" r="0" b="0"/>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51560" cy="327660"/>
                        </a:xfrm>
                        <a:prstGeom prst="rect">
                          <a:avLst/>
                        </a:prstGeom>
                        <a:noFill/>
                        <a:ln>
                          <a:noFill/>
                        </a:ln>
                      </pic:spPr>
                    </pic:pic>
                  </a:graphicData>
                </a:graphic>
              </wp:inline>
            </w:drawing>
          </w:r>
        </w:p>
      </w:tc>
    </w:tr>
    <w:tr w:rsidR="00D20980" w:rsidRPr="009E07BE" w14:paraId="7DFAF6AA" w14:textId="77777777" w:rsidTr="00621FB4">
      <w:trPr>
        <w:cantSplit/>
        <w:trHeight w:val="316"/>
      </w:trPr>
      <w:tc>
        <w:tcPr>
          <w:tcW w:w="2722" w:type="dxa"/>
          <w:vMerge/>
          <w:vAlign w:val="center"/>
        </w:tcPr>
        <w:p w14:paraId="5F7A7B64" w14:textId="77777777" w:rsidR="00D20980" w:rsidRPr="001D62F3" w:rsidRDefault="00D20980" w:rsidP="00D20980">
          <w:pPr>
            <w:jc w:val="center"/>
            <w:rPr>
              <w:rFonts w:ascii="Arial Narrow" w:hAnsi="Arial Narrow" w:cs="Arial"/>
              <w:bCs/>
              <w:spacing w:val="-6"/>
              <w:szCs w:val="17"/>
            </w:rPr>
          </w:pPr>
        </w:p>
      </w:tc>
      <w:tc>
        <w:tcPr>
          <w:tcW w:w="4933" w:type="dxa"/>
          <w:shd w:val="clear" w:color="auto" w:fill="E1E1E1"/>
          <w:vAlign w:val="center"/>
        </w:tcPr>
        <w:p w14:paraId="78DC92F3" w14:textId="77777777" w:rsidR="00D20980" w:rsidRPr="001D62F3" w:rsidRDefault="00D20980" w:rsidP="00D20980">
          <w:pPr>
            <w:ind w:right="-42"/>
            <w:jc w:val="center"/>
            <w:rPr>
              <w:rFonts w:ascii="Arial Narrow" w:hAnsi="Arial Narrow" w:cs="Arial"/>
              <w:bCs/>
              <w:spacing w:val="-6"/>
              <w:sz w:val="20"/>
            </w:rPr>
          </w:pPr>
          <w:r w:rsidRPr="001D62F3">
            <w:rPr>
              <w:rFonts w:ascii="Arial Narrow" w:hAnsi="Arial Narrow" w:cs="Arial"/>
              <w:b/>
              <w:bCs/>
              <w:spacing w:val="-6"/>
              <w:sz w:val="20"/>
            </w:rPr>
            <w:t>Proceso:</w:t>
          </w:r>
          <w:r w:rsidRPr="001D62F3">
            <w:rPr>
              <w:rFonts w:ascii="Arial Narrow" w:hAnsi="Arial Narrow" w:cs="Arial"/>
              <w:bCs/>
              <w:spacing w:val="-6"/>
              <w:sz w:val="20"/>
            </w:rPr>
            <w:t xml:space="preserve"> </w:t>
          </w:r>
          <w:r>
            <w:rPr>
              <w:rFonts w:ascii="Arial Narrow" w:hAnsi="Arial Narrow" w:cs="Arial"/>
              <w:bCs/>
              <w:spacing w:val="-6"/>
              <w:sz w:val="20"/>
            </w:rPr>
            <w:t xml:space="preserve">Instrumentación Ambiental </w:t>
          </w:r>
        </w:p>
      </w:tc>
      <w:tc>
        <w:tcPr>
          <w:tcW w:w="1843" w:type="dxa"/>
          <w:vMerge/>
          <w:vAlign w:val="center"/>
        </w:tcPr>
        <w:p w14:paraId="40FE7C7F" w14:textId="77777777" w:rsidR="00D20980" w:rsidRPr="001D62F3" w:rsidRDefault="00D20980" w:rsidP="00D20980">
          <w:pPr>
            <w:ind w:right="-42"/>
            <w:jc w:val="center"/>
            <w:rPr>
              <w:rFonts w:ascii="Arial Narrow" w:hAnsi="Arial Narrow" w:cs="Arial"/>
              <w:bCs/>
              <w:spacing w:val="-6"/>
              <w:sz w:val="20"/>
            </w:rPr>
          </w:pPr>
        </w:p>
      </w:tc>
    </w:tr>
    <w:tr w:rsidR="00D20980" w:rsidRPr="009E07BE" w14:paraId="799E9862" w14:textId="77777777" w:rsidTr="00621FB4">
      <w:trPr>
        <w:cantSplit/>
        <w:trHeight w:val="273"/>
      </w:trPr>
      <w:tc>
        <w:tcPr>
          <w:tcW w:w="2722" w:type="dxa"/>
          <w:vAlign w:val="center"/>
        </w:tcPr>
        <w:p w14:paraId="1FD5D27E" w14:textId="77777777" w:rsidR="00D20980" w:rsidRPr="001D62F3" w:rsidRDefault="00D20980" w:rsidP="00D20980">
          <w:pPr>
            <w:jc w:val="center"/>
            <w:rPr>
              <w:rFonts w:ascii="Arial Narrow" w:hAnsi="Arial Narrow" w:cs="Arial"/>
              <w:bCs/>
              <w:spacing w:val="-6"/>
              <w:sz w:val="16"/>
              <w:szCs w:val="17"/>
              <w:lang w:val="en-US"/>
            </w:rPr>
          </w:pPr>
          <w:r w:rsidRPr="001D62F3">
            <w:rPr>
              <w:rFonts w:ascii="Arial Narrow" w:hAnsi="Arial Narrow" w:cs="Arial"/>
              <w:b/>
              <w:bCs/>
              <w:spacing w:val="-6"/>
              <w:sz w:val="16"/>
            </w:rPr>
            <w:t>Versión</w:t>
          </w:r>
          <w:r w:rsidRPr="001D62F3">
            <w:rPr>
              <w:rFonts w:ascii="Arial Narrow" w:hAnsi="Arial Narrow" w:cs="Arial"/>
              <w:bCs/>
              <w:spacing w:val="-6"/>
              <w:sz w:val="16"/>
            </w:rPr>
            <w:t xml:space="preserve">: </w:t>
          </w:r>
          <w:r>
            <w:rPr>
              <w:rFonts w:ascii="Arial Narrow" w:hAnsi="Arial Narrow" w:cs="Arial"/>
              <w:bCs/>
              <w:spacing w:val="-6"/>
              <w:sz w:val="16"/>
            </w:rPr>
            <w:t>3</w:t>
          </w:r>
        </w:p>
      </w:tc>
      <w:tc>
        <w:tcPr>
          <w:tcW w:w="4933" w:type="dxa"/>
          <w:vAlign w:val="center"/>
        </w:tcPr>
        <w:p w14:paraId="68F8F3A1" w14:textId="77777777" w:rsidR="00D20980" w:rsidRPr="001D62F3" w:rsidRDefault="00D20980" w:rsidP="00D20980">
          <w:pPr>
            <w:ind w:right="-42"/>
            <w:jc w:val="center"/>
            <w:rPr>
              <w:rFonts w:ascii="Arial Narrow" w:hAnsi="Arial Narrow" w:cs="Arial"/>
              <w:bCs/>
              <w:spacing w:val="-6"/>
              <w:sz w:val="16"/>
            </w:rPr>
          </w:pPr>
          <w:r w:rsidRPr="001D62F3">
            <w:rPr>
              <w:rFonts w:ascii="Arial Narrow" w:hAnsi="Arial Narrow" w:cs="Arial"/>
              <w:b/>
              <w:bCs/>
              <w:spacing w:val="-6"/>
              <w:sz w:val="16"/>
            </w:rPr>
            <w:t>Vigencia</w:t>
          </w:r>
          <w:r w:rsidRPr="001D62F3">
            <w:rPr>
              <w:rFonts w:ascii="Arial Narrow" w:hAnsi="Arial Narrow" w:cs="Arial"/>
              <w:bCs/>
              <w:spacing w:val="-6"/>
              <w:sz w:val="16"/>
            </w:rPr>
            <w:t xml:space="preserve">: </w:t>
          </w:r>
          <w:r>
            <w:rPr>
              <w:rFonts w:ascii="Arial Narrow" w:hAnsi="Arial Narrow" w:cs="Arial"/>
              <w:bCs/>
              <w:spacing w:val="-6"/>
              <w:sz w:val="16"/>
            </w:rPr>
            <w:t>06/10/2022</w:t>
          </w:r>
        </w:p>
      </w:tc>
      <w:tc>
        <w:tcPr>
          <w:tcW w:w="1843" w:type="dxa"/>
          <w:vAlign w:val="center"/>
        </w:tcPr>
        <w:p w14:paraId="31A748BF" w14:textId="77777777" w:rsidR="00D20980" w:rsidRPr="001D62F3" w:rsidRDefault="00D20980" w:rsidP="00D20980">
          <w:pPr>
            <w:ind w:right="-42"/>
            <w:jc w:val="center"/>
            <w:rPr>
              <w:rFonts w:ascii="Arial Narrow" w:hAnsi="Arial Narrow" w:cs="Arial"/>
              <w:bCs/>
              <w:spacing w:val="-6"/>
              <w:sz w:val="16"/>
            </w:rPr>
          </w:pPr>
          <w:r w:rsidRPr="001D62F3">
            <w:rPr>
              <w:rFonts w:ascii="Arial Narrow" w:hAnsi="Arial Narrow" w:cs="Arial"/>
              <w:b/>
              <w:bCs/>
              <w:spacing w:val="-6"/>
              <w:sz w:val="16"/>
            </w:rPr>
            <w:t>Código:</w:t>
          </w:r>
          <w:r w:rsidRPr="001D62F3">
            <w:rPr>
              <w:rFonts w:ascii="Arial Narrow" w:hAnsi="Arial Narrow" w:cs="Arial"/>
              <w:bCs/>
              <w:spacing w:val="-6"/>
              <w:sz w:val="16"/>
            </w:rPr>
            <w:t xml:space="preserve"> </w:t>
          </w:r>
          <w:r w:rsidRPr="00D20980">
            <w:rPr>
              <w:rFonts w:ascii="Arial Narrow" w:hAnsi="Arial Narrow" w:cs="Arial"/>
              <w:bCs/>
              <w:spacing w:val="-6"/>
              <w:sz w:val="16"/>
            </w:rPr>
            <w:t>F-M-INA-23</w:t>
          </w:r>
        </w:p>
      </w:tc>
    </w:tr>
  </w:tbl>
  <w:p w14:paraId="5448CF00" w14:textId="77777777" w:rsidR="00023C4B" w:rsidRPr="00BF6B70" w:rsidRDefault="00023C4B" w:rsidP="00D209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9.4pt" o:bullet="t">
        <v:imagedata r:id="rId1" o:title=""/>
      </v:shape>
    </w:pict>
  </w:numPicBullet>
  <w:abstractNum w:abstractNumId="0" w15:restartNumberingAfterBreak="0">
    <w:nsid w:val="FFFFFF1D"/>
    <w:multiLevelType w:val="multilevel"/>
    <w:tmpl w:val="60EE0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24B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6473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6A451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DD1B6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144F1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31D78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608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054C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7B479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278CB"/>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1E6117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5370DE"/>
    <w:multiLevelType w:val="singleLevel"/>
    <w:tmpl w:val="411E756E"/>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C9A566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A007F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82DC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C5669CB"/>
    <w:multiLevelType w:val="hybridMultilevel"/>
    <w:tmpl w:val="98B28BB2"/>
    <w:lvl w:ilvl="0" w:tplc="99A4D8EC">
      <w:start w:val="1"/>
      <w:numFmt w:val="bullet"/>
      <w:lvlText w:val=""/>
      <w:lvlPicBulletId w:val="0"/>
      <w:lvlJc w:val="left"/>
      <w:pPr>
        <w:tabs>
          <w:tab w:val="num" w:pos="720"/>
        </w:tabs>
        <w:ind w:left="720" w:hanging="360"/>
      </w:pPr>
      <w:rPr>
        <w:rFonts w:ascii="Symbol" w:hAnsi="Symbol" w:hint="default"/>
      </w:rPr>
    </w:lvl>
    <w:lvl w:ilvl="1" w:tplc="8BE692F0" w:tentative="1">
      <w:start w:val="1"/>
      <w:numFmt w:val="bullet"/>
      <w:lvlText w:val=""/>
      <w:lvlJc w:val="left"/>
      <w:pPr>
        <w:tabs>
          <w:tab w:val="num" w:pos="1440"/>
        </w:tabs>
        <w:ind w:left="1440" w:hanging="360"/>
      </w:pPr>
      <w:rPr>
        <w:rFonts w:ascii="Symbol" w:hAnsi="Symbol" w:hint="default"/>
      </w:rPr>
    </w:lvl>
    <w:lvl w:ilvl="2" w:tplc="6AD267D8" w:tentative="1">
      <w:start w:val="1"/>
      <w:numFmt w:val="bullet"/>
      <w:lvlText w:val=""/>
      <w:lvlJc w:val="left"/>
      <w:pPr>
        <w:tabs>
          <w:tab w:val="num" w:pos="2160"/>
        </w:tabs>
        <w:ind w:left="2160" w:hanging="360"/>
      </w:pPr>
      <w:rPr>
        <w:rFonts w:ascii="Symbol" w:hAnsi="Symbol" w:hint="default"/>
      </w:rPr>
    </w:lvl>
    <w:lvl w:ilvl="3" w:tplc="653C2EA0" w:tentative="1">
      <w:start w:val="1"/>
      <w:numFmt w:val="bullet"/>
      <w:lvlText w:val=""/>
      <w:lvlJc w:val="left"/>
      <w:pPr>
        <w:tabs>
          <w:tab w:val="num" w:pos="2880"/>
        </w:tabs>
        <w:ind w:left="2880" w:hanging="360"/>
      </w:pPr>
      <w:rPr>
        <w:rFonts w:ascii="Symbol" w:hAnsi="Symbol" w:hint="default"/>
      </w:rPr>
    </w:lvl>
    <w:lvl w:ilvl="4" w:tplc="2F482690" w:tentative="1">
      <w:start w:val="1"/>
      <w:numFmt w:val="bullet"/>
      <w:lvlText w:val=""/>
      <w:lvlJc w:val="left"/>
      <w:pPr>
        <w:tabs>
          <w:tab w:val="num" w:pos="3600"/>
        </w:tabs>
        <w:ind w:left="3600" w:hanging="360"/>
      </w:pPr>
      <w:rPr>
        <w:rFonts w:ascii="Symbol" w:hAnsi="Symbol" w:hint="default"/>
      </w:rPr>
    </w:lvl>
    <w:lvl w:ilvl="5" w:tplc="C068DACC" w:tentative="1">
      <w:start w:val="1"/>
      <w:numFmt w:val="bullet"/>
      <w:lvlText w:val=""/>
      <w:lvlJc w:val="left"/>
      <w:pPr>
        <w:tabs>
          <w:tab w:val="num" w:pos="4320"/>
        </w:tabs>
        <w:ind w:left="4320" w:hanging="360"/>
      </w:pPr>
      <w:rPr>
        <w:rFonts w:ascii="Symbol" w:hAnsi="Symbol" w:hint="default"/>
      </w:rPr>
    </w:lvl>
    <w:lvl w:ilvl="6" w:tplc="61348C08" w:tentative="1">
      <w:start w:val="1"/>
      <w:numFmt w:val="bullet"/>
      <w:lvlText w:val=""/>
      <w:lvlJc w:val="left"/>
      <w:pPr>
        <w:tabs>
          <w:tab w:val="num" w:pos="5040"/>
        </w:tabs>
        <w:ind w:left="5040" w:hanging="360"/>
      </w:pPr>
      <w:rPr>
        <w:rFonts w:ascii="Symbol" w:hAnsi="Symbol" w:hint="default"/>
      </w:rPr>
    </w:lvl>
    <w:lvl w:ilvl="7" w:tplc="79AE8802" w:tentative="1">
      <w:start w:val="1"/>
      <w:numFmt w:val="bullet"/>
      <w:lvlText w:val=""/>
      <w:lvlJc w:val="left"/>
      <w:pPr>
        <w:tabs>
          <w:tab w:val="num" w:pos="5760"/>
        </w:tabs>
        <w:ind w:left="5760" w:hanging="360"/>
      </w:pPr>
      <w:rPr>
        <w:rFonts w:ascii="Symbol" w:hAnsi="Symbol" w:hint="default"/>
      </w:rPr>
    </w:lvl>
    <w:lvl w:ilvl="8" w:tplc="57BA050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E40534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C4270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0F5A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536F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7D58E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CB3179"/>
    <w:multiLevelType w:val="multilevel"/>
    <w:tmpl w:val="E892C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Arial" w:hAnsi="Arial" w:cs="Arial" w:hint="default"/>
        <w:b/>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F640AE"/>
    <w:multiLevelType w:val="hybridMultilevel"/>
    <w:tmpl w:val="EA881E82"/>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4D9C2D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BB6E9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FE17E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596E14"/>
    <w:multiLevelType w:val="hybridMultilevel"/>
    <w:tmpl w:val="352425E4"/>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0640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A2423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EB5A2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7AE1CD1"/>
    <w:multiLevelType w:val="hybridMultilevel"/>
    <w:tmpl w:val="C6CE410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64181846">
    <w:abstractNumId w:val="23"/>
  </w:num>
  <w:num w:numId="2" w16cid:durableId="2036299502">
    <w:abstractNumId w:val="15"/>
  </w:num>
  <w:num w:numId="3" w16cid:durableId="1428425650">
    <w:abstractNumId w:val="4"/>
  </w:num>
  <w:num w:numId="4" w16cid:durableId="1783261025">
    <w:abstractNumId w:val="25"/>
  </w:num>
  <w:num w:numId="5" w16cid:durableId="1404452575">
    <w:abstractNumId w:val="5"/>
  </w:num>
  <w:num w:numId="6" w16cid:durableId="519438814">
    <w:abstractNumId w:val="13"/>
  </w:num>
  <w:num w:numId="7" w16cid:durableId="1196969638">
    <w:abstractNumId w:val="8"/>
  </w:num>
  <w:num w:numId="8" w16cid:durableId="2074545153">
    <w:abstractNumId w:val="10"/>
  </w:num>
  <w:num w:numId="9" w16cid:durableId="891379924">
    <w:abstractNumId w:val="24"/>
  </w:num>
  <w:num w:numId="10" w16cid:durableId="53509526">
    <w:abstractNumId w:val="30"/>
  </w:num>
  <w:num w:numId="11" w16cid:durableId="1205406246">
    <w:abstractNumId w:val="18"/>
  </w:num>
  <w:num w:numId="12" w16cid:durableId="2032221409">
    <w:abstractNumId w:val="19"/>
  </w:num>
  <w:num w:numId="13" w16cid:durableId="1464350223">
    <w:abstractNumId w:val="29"/>
  </w:num>
  <w:num w:numId="14" w16cid:durableId="740177491">
    <w:abstractNumId w:val="21"/>
  </w:num>
  <w:num w:numId="15" w16cid:durableId="1401757207">
    <w:abstractNumId w:val="17"/>
  </w:num>
  <w:num w:numId="16" w16cid:durableId="79252968">
    <w:abstractNumId w:val="11"/>
  </w:num>
  <w:num w:numId="17" w16cid:durableId="1978342157">
    <w:abstractNumId w:val="1"/>
  </w:num>
  <w:num w:numId="18" w16cid:durableId="182322456">
    <w:abstractNumId w:val="28"/>
  </w:num>
  <w:num w:numId="19" w16cid:durableId="540366595">
    <w:abstractNumId w:val="9"/>
  </w:num>
  <w:num w:numId="20" w16cid:durableId="1366130422">
    <w:abstractNumId w:val="20"/>
  </w:num>
  <w:num w:numId="21" w16cid:durableId="1963799760">
    <w:abstractNumId w:val="14"/>
  </w:num>
  <w:num w:numId="22" w16cid:durableId="1603759708">
    <w:abstractNumId w:val="26"/>
  </w:num>
  <w:num w:numId="23" w16cid:durableId="515465629">
    <w:abstractNumId w:val="6"/>
  </w:num>
  <w:num w:numId="24" w16cid:durableId="253708381">
    <w:abstractNumId w:val="7"/>
  </w:num>
  <w:num w:numId="25" w16cid:durableId="1642034981">
    <w:abstractNumId w:val="3"/>
  </w:num>
  <w:num w:numId="26" w16cid:durableId="411659194">
    <w:abstractNumId w:val="2"/>
  </w:num>
  <w:num w:numId="27" w16cid:durableId="307128021">
    <w:abstractNumId w:val="12"/>
  </w:num>
  <w:num w:numId="28" w16cid:durableId="1009134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7748998">
    <w:abstractNumId w:val="16"/>
  </w:num>
  <w:num w:numId="30" w16cid:durableId="1753813022">
    <w:abstractNumId w:val="22"/>
  </w:num>
  <w:num w:numId="31" w16cid:durableId="43801129">
    <w:abstractNumId w:val="27"/>
  </w:num>
  <w:num w:numId="32" w16cid:durableId="81961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F3"/>
    <w:rsid w:val="0000328C"/>
    <w:rsid w:val="00023C4B"/>
    <w:rsid w:val="00024E20"/>
    <w:rsid w:val="00060D55"/>
    <w:rsid w:val="00075EA9"/>
    <w:rsid w:val="00084DA2"/>
    <w:rsid w:val="00085826"/>
    <w:rsid w:val="000924F8"/>
    <w:rsid w:val="000D6824"/>
    <w:rsid w:val="000E09FA"/>
    <w:rsid w:val="000F3807"/>
    <w:rsid w:val="00105888"/>
    <w:rsid w:val="00117605"/>
    <w:rsid w:val="00166C0E"/>
    <w:rsid w:val="0017201C"/>
    <w:rsid w:val="00177FD8"/>
    <w:rsid w:val="001835F0"/>
    <w:rsid w:val="00186E7F"/>
    <w:rsid w:val="001A6FF2"/>
    <w:rsid w:val="001F6413"/>
    <w:rsid w:val="00236688"/>
    <w:rsid w:val="00267E21"/>
    <w:rsid w:val="00270A27"/>
    <w:rsid w:val="00276A24"/>
    <w:rsid w:val="00281570"/>
    <w:rsid w:val="00293F21"/>
    <w:rsid w:val="0029655F"/>
    <w:rsid w:val="002A07AD"/>
    <w:rsid w:val="002A5342"/>
    <w:rsid w:val="002B78BF"/>
    <w:rsid w:val="002F58B9"/>
    <w:rsid w:val="00304682"/>
    <w:rsid w:val="003047CE"/>
    <w:rsid w:val="00317AF3"/>
    <w:rsid w:val="00320636"/>
    <w:rsid w:val="00351659"/>
    <w:rsid w:val="00380C0E"/>
    <w:rsid w:val="003C1785"/>
    <w:rsid w:val="003D7CB8"/>
    <w:rsid w:val="003E6B84"/>
    <w:rsid w:val="003E7A70"/>
    <w:rsid w:val="003F0C73"/>
    <w:rsid w:val="004020D5"/>
    <w:rsid w:val="004063EB"/>
    <w:rsid w:val="00423B8E"/>
    <w:rsid w:val="004269F2"/>
    <w:rsid w:val="0044199C"/>
    <w:rsid w:val="004450A6"/>
    <w:rsid w:val="004452C4"/>
    <w:rsid w:val="004569BD"/>
    <w:rsid w:val="00467DC2"/>
    <w:rsid w:val="004805CF"/>
    <w:rsid w:val="00481C77"/>
    <w:rsid w:val="0049042C"/>
    <w:rsid w:val="004910B7"/>
    <w:rsid w:val="004B0081"/>
    <w:rsid w:val="004B7F67"/>
    <w:rsid w:val="004C4916"/>
    <w:rsid w:val="004E6082"/>
    <w:rsid w:val="00502981"/>
    <w:rsid w:val="00507913"/>
    <w:rsid w:val="00513720"/>
    <w:rsid w:val="00536A0F"/>
    <w:rsid w:val="0054419A"/>
    <w:rsid w:val="00563F8A"/>
    <w:rsid w:val="00565CD8"/>
    <w:rsid w:val="00585302"/>
    <w:rsid w:val="005A43BB"/>
    <w:rsid w:val="005A536A"/>
    <w:rsid w:val="005B15A5"/>
    <w:rsid w:val="005B50D9"/>
    <w:rsid w:val="005C1A6A"/>
    <w:rsid w:val="005C31C8"/>
    <w:rsid w:val="005C5976"/>
    <w:rsid w:val="005E32B2"/>
    <w:rsid w:val="005E3D09"/>
    <w:rsid w:val="005F45B3"/>
    <w:rsid w:val="00606893"/>
    <w:rsid w:val="00606FBD"/>
    <w:rsid w:val="00621FB4"/>
    <w:rsid w:val="00626705"/>
    <w:rsid w:val="00632662"/>
    <w:rsid w:val="006374A6"/>
    <w:rsid w:val="0064107B"/>
    <w:rsid w:val="0065093E"/>
    <w:rsid w:val="0066040A"/>
    <w:rsid w:val="00661C4A"/>
    <w:rsid w:val="006728B8"/>
    <w:rsid w:val="00693F3D"/>
    <w:rsid w:val="00694041"/>
    <w:rsid w:val="006A69CB"/>
    <w:rsid w:val="00712387"/>
    <w:rsid w:val="00713759"/>
    <w:rsid w:val="0072702D"/>
    <w:rsid w:val="007306DF"/>
    <w:rsid w:val="00741463"/>
    <w:rsid w:val="00745AB5"/>
    <w:rsid w:val="00745DD6"/>
    <w:rsid w:val="00757283"/>
    <w:rsid w:val="00760085"/>
    <w:rsid w:val="007717A8"/>
    <w:rsid w:val="007D7D25"/>
    <w:rsid w:val="007E5847"/>
    <w:rsid w:val="007F16E6"/>
    <w:rsid w:val="007F2787"/>
    <w:rsid w:val="007F5A09"/>
    <w:rsid w:val="00816258"/>
    <w:rsid w:val="00826D61"/>
    <w:rsid w:val="0087753A"/>
    <w:rsid w:val="008A3A16"/>
    <w:rsid w:val="008A4B43"/>
    <w:rsid w:val="008C2D40"/>
    <w:rsid w:val="008F340F"/>
    <w:rsid w:val="00911EB8"/>
    <w:rsid w:val="00924221"/>
    <w:rsid w:val="00940B21"/>
    <w:rsid w:val="00945C09"/>
    <w:rsid w:val="009A2D51"/>
    <w:rsid w:val="009A50B9"/>
    <w:rsid w:val="009B45C4"/>
    <w:rsid w:val="009B5C81"/>
    <w:rsid w:val="009C466A"/>
    <w:rsid w:val="009D34D2"/>
    <w:rsid w:val="009D48B0"/>
    <w:rsid w:val="009D5F12"/>
    <w:rsid w:val="009F04A0"/>
    <w:rsid w:val="009F1050"/>
    <w:rsid w:val="00A32387"/>
    <w:rsid w:val="00A50F76"/>
    <w:rsid w:val="00A658AB"/>
    <w:rsid w:val="00A8001C"/>
    <w:rsid w:val="00AD7A8D"/>
    <w:rsid w:val="00AF480B"/>
    <w:rsid w:val="00AF7435"/>
    <w:rsid w:val="00B0545E"/>
    <w:rsid w:val="00B06EC7"/>
    <w:rsid w:val="00B10F02"/>
    <w:rsid w:val="00B25B64"/>
    <w:rsid w:val="00B33769"/>
    <w:rsid w:val="00B422C8"/>
    <w:rsid w:val="00B46730"/>
    <w:rsid w:val="00B52F35"/>
    <w:rsid w:val="00B566C7"/>
    <w:rsid w:val="00B576F9"/>
    <w:rsid w:val="00B60310"/>
    <w:rsid w:val="00B63B22"/>
    <w:rsid w:val="00B70E40"/>
    <w:rsid w:val="00B754D2"/>
    <w:rsid w:val="00B863D6"/>
    <w:rsid w:val="00BA6E34"/>
    <w:rsid w:val="00BB1F99"/>
    <w:rsid w:val="00BB5B43"/>
    <w:rsid w:val="00BD36E3"/>
    <w:rsid w:val="00BD3A50"/>
    <w:rsid w:val="00BD5B5F"/>
    <w:rsid w:val="00BD7478"/>
    <w:rsid w:val="00BF6B70"/>
    <w:rsid w:val="00C16DE1"/>
    <w:rsid w:val="00C205D5"/>
    <w:rsid w:val="00C469F7"/>
    <w:rsid w:val="00C55E77"/>
    <w:rsid w:val="00C738D6"/>
    <w:rsid w:val="00C87641"/>
    <w:rsid w:val="00C95381"/>
    <w:rsid w:val="00CC4E70"/>
    <w:rsid w:val="00CE52F4"/>
    <w:rsid w:val="00CF20F3"/>
    <w:rsid w:val="00D11B61"/>
    <w:rsid w:val="00D131A5"/>
    <w:rsid w:val="00D20980"/>
    <w:rsid w:val="00D2567C"/>
    <w:rsid w:val="00D43ED7"/>
    <w:rsid w:val="00D73D6A"/>
    <w:rsid w:val="00D83389"/>
    <w:rsid w:val="00DA6221"/>
    <w:rsid w:val="00DD3157"/>
    <w:rsid w:val="00DE5DD2"/>
    <w:rsid w:val="00E10A65"/>
    <w:rsid w:val="00E12A3D"/>
    <w:rsid w:val="00E15DEE"/>
    <w:rsid w:val="00E42985"/>
    <w:rsid w:val="00E46ACE"/>
    <w:rsid w:val="00E537F8"/>
    <w:rsid w:val="00E62277"/>
    <w:rsid w:val="00E65C4F"/>
    <w:rsid w:val="00E66006"/>
    <w:rsid w:val="00E90030"/>
    <w:rsid w:val="00E90AE5"/>
    <w:rsid w:val="00E9681B"/>
    <w:rsid w:val="00EA34C5"/>
    <w:rsid w:val="00EA5C37"/>
    <w:rsid w:val="00EC0ABA"/>
    <w:rsid w:val="00ED2427"/>
    <w:rsid w:val="00ED3209"/>
    <w:rsid w:val="00EE53F7"/>
    <w:rsid w:val="00F03903"/>
    <w:rsid w:val="00F12875"/>
    <w:rsid w:val="00F12CE7"/>
    <w:rsid w:val="00F170E4"/>
    <w:rsid w:val="00F43A21"/>
    <w:rsid w:val="00F67423"/>
    <w:rsid w:val="00F8265D"/>
    <w:rsid w:val="00FB5762"/>
    <w:rsid w:val="00FE33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A756F"/>
  <w15:chartTrackingRefBased/>
  <w15:docId w15:val="{C52A0AA4-35BA-4E58-9C5D-B11AB14F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 w:eastAsia="es-ES"/>
    </w:rPr>
  </w:style>
  <w:style w:type="paragraph" w:styleId="Ttulo1">
    <w:name w:val="heading 1"/>
    <w:basedOn w:val="Normal"/>
    <w:next w:val="Normal"/>
    <w:qFormat/>
    <w:pPr>
      <w:keepNext/>
      <w:jc w:val="center"/>
      <w:outlineLvl w:val="0"/>
    </w:pPr>
    <w:rPr>
      <w:rFonts w:ascii="Arial" w:hAnsi="Arial"/>
      <w:b/>
    </w:rPr>
  </w:style>
  <w:style w:type="paragraph" w:styleId="Ttulo2">
    <w:name w:val="heading 2"/>
    <w:basedOn w:val="Normal"/>
    <w:next w:val="Normal"/>
    <w:qFormat/>
    <w:pPr>
      <w:keepNext/>
      <w:outlineLvl w:val="1"/>
    </w:pPr>
    <w:rPr>
      <w:rFonts w:ascii="Arial" w:hAnsi="Arial"/>
      <w:b/>
      <w:bCs/>
    </w:rPr>
  </w:style>
  <w:style w:type="paragraph" w:styleId="Ttulo3">
    <w:name w:val="heading 3"/>
    <w:basedOn w:val="Normal"/>
    <w:next w:val="Normal"/>
    <w:qFormat/>
    <w:pPr>
      <w:keepNext/>
      <w:jc w:val="both"/>
      <w:outlineLvl w:val="2"/>
    </w:pPr>
    <w:rPr>
      <w:rFonts w:ascii="Arial" w:hAnsi="Arial"/>
      <w:b/>
      <w:bCs/>
    </w:rPr>
  </w:style>
  <w:style w:type="paragraph" w:styleId="Ttulo4">
    <w:name w:val="heading 4"/>
    <w:basedOn w:val="Normal"/>
    <w:next w:val="Normal"/>
    <w:qFormat/>
    <w:pPr>
      <w:keepNext/>
      <w:outlineLvl w:val="3"/>
    </w:pPr>
    <w:rPr>
      <w:sz w:val="28"/>
      <w:lang w:val="es-CO"/>
    </w:rPr>
  </w:style>
  <w:style w:type="paragraph" w:styleId="Ttulo5">
    <w:name w:val="heading 5"/>
    <w:basedOn w:val="Normal"/>
    <w:next w:val="Normal"/>
    <w:qFormat/>
    <w:pPr>
      <w:keepNext/>
      <w:outlineLvl w:val="4"/>
    </w:pPr>
    <w:rPr>
      <w:rFonts w:ascii="Arial" w:hAnsi="Arial"/>
      <w:b/>
      <w:i/>
      <w:sz w:val="22"/>
    </w:rPr>
  </w:style>
  <w:style w:type="paragraph" w:styleId="Ttulo6">
    <w:name w:val="heading 6"/>
    <w:basedOn w:val="Normal"/>
    <w:next w:val="Normal"/>
    <w:qFormat/>
    <w:pPr>
      <w:keepNext/>
      <w:outlineLvl w:val="5"/>
    </w:pPr>
    <w:rPr>
      <w:rFonts w:ascii="Arial" w:hAnsi="Arial"/>
      <w:i/>
    </w:rPr>
  </w:style>
  <w:style w:type="paragraph" w:styleId="Ttulo7">
    <w:name w:val="heading 7"/>
    <w:basedOn w:val="Normal"/>
    <w:next w:val="Normal"/>
    <w:qFormat/>
    <w:pPr>
      <w:keepNext/>
      <w:outlineLvl w:val="6"/>
    </w:pPr>
    <w:rPr>
      <w:rFonts w:ascii="Arial" w:hAnsi="Arial"/>
      <w:b/>
      <w:i/>
    </w:rPr>
  </w:style>
  <w:style w:type="paragraph" w:styleId="Ttulo8">
    <w:name w:val="heading 8"/>
    <w:basedOn w:val="Normal"/>
    <w:next w:val="Normal"/>
    <w:qFormat/>
    <w:pPr>
      <w:keepNext/>
      <w:ind w:left="2160" w:firstLine="720"/>
      <w:outlineLvl w:val="7"/>
    </w:pPr>
    <w:rPr>
      <w:b/>
      <w:i/>
    </w:rPr>
  </w:style>
  <w:style w:type="paragraph" w:styleId="Ttulo9">
    <w:name w:val="heading 9"/>
    <w:basedOn w:val="Normal"/>
    <w:next w:val="Normal"/>
    <w:qFormat/>
    <w:pPr>
      <w:keepNext/>
      <w:ind w:hanging="73"/>
      <w:jc w:val="right"/>
      <w:outlineLvl w:val="8"/>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jc w:val="both"/>
    </w:pPr>
    <w:rPr>
      <w:rFonts w:ascii="Arial" w:hAnsi="Arial" w:cs="Arial"/>
    </w:rPr>
  </w:style>
  <w:style w:type="paragraph" w:styleId="Sangradetextonormal">
    <w:name w:val="Body Text Indent"/>
    <w:basedOn w:val="Normal"/>
    <w:pPr>
      <w:overflowPunct w:val="0"/>
      <w:autoSpaceDE w:val="0"/>
      <w:autoSpaceDN w:val="0"/>
      <w:adjustRightInd w:val="0"/>
      <w:ind w:left="360"/>
      <w:jc w:val="both"/>
      <w:textAlignment w:val="baseline"/>
    </w:pPr>
    <w:rPr>
      <w:rFonts w:ascii="Arial" w:hAnsi="Arial" w:cs="Arial"/>
      <w:color w:val="000000"/>
      <w:lang w:val="es-ES_tradnl"/>
    </w:rPr>
  </w:style>
  <w:style w:type="character" w:styleId="Refdenotaalpie">
    <w:name w:val="footnote reference"/>
    <w:semiHidden/>
    <w:rPr>
      <w:vertAlign w:val="superscript"/>
    </w:rPr>
  </w:style>
  <w:style w:type="paragraph" w:styleId="NormalWeb">
    <w:name w:val="Normal (Web)"/>
    <w:basedOn w:val="Normal"/>
    <w:pPr>
      <w:spacing w:before="100" w:after="100"/>
    </w:pPr>
    <w:rPr>
      <w:rFonts w:ascii="Arial" w:hAnsi="Arial"/>
    </w:rPr>
  </w:style>
  <w:style w:type="paragraph" w:styleId="Textonotapie">
    <w:name w:val="footnote text"/>
    <w:basedOn w:val="Normal"/>
    <w:semiHidden/>
    <w:rPr>
      <w:rFonts w:ascii="Arial" w:hAnsi="Arial"/>
      <w:sz w:val="20"/>
    </w:rPr>
  </w:style>
  <w:style w:type="paragraph" w:styleId="Textoindependiente2">
    <w:name w:val="Body Text 2"/>
    <w:basedOn w:val="Normal"/>
    <w:pPr>
      <w:jc w:val="both"/>
    </w:pPr>
    <w:rPr>
      <w:rFonts w:ascii="Arial" w:eastAsia="Arial" w:hAnsi="Arial" w:cs="Arial"/>
      <w:color w:val="000000"/>
      <w:szCs w:val="19"/>
      <w:lang w:val="es-ES_tradnl"/>
    </w:rPr>
  </w:style>
  <w:style w:type="character" w:styleId="Nmerodepgina">
    <w:name w:val="page number"/>
    <w:basedOn w:val="Fuentedeprrafopredeter"/>
  </w:style>
  <w:style w:type="paragraph" w:styleId="Ttulo">
    <w:name w:val="Title"/>
    <w:basedOn w:val="Normal"/>
    <w:qFormat/>
    <w:pPr>
      <w:jc w:val="center"/>
    </w:pPr>
    <w:rPr>
      <w:rFonts w:ascii="Arial" w:hAnsi="Arial"/>
      <w:sz w:val="28"/>
    </w:rPr>
  </w:style>
  <w:style w:type="paragraph" w:styleId="Textoindependiente3">
    <w:name w:val="Body Text 3"/>
    <w:basedOn w:val="Normal"/>
    <w:pPr>
      <w:ind w:right="87"/>
      <w:jc w:val="both"/>
    </w:pPr>
    <w:rPr>
      <w:rFonts w:ascii="Arial" w:hAnsi="Arial"/>
      <w:sz w:val="28"/>
    </w:r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epgrafe">
    <w:name w:val="epígrafe"/>
    <w:basedOn w:val="Normal"/>
    <w:pPr>
      <w:jc w:val="both"/>
    </w:pPr>
    <w:rPr>
      <w:rFonts w:ascii="Arial" w:hAnsi="Arial"/>
      <w:lang w:val="es-ES_tradnl"/>
    </w:rPr>
  </w:style>
  <w:style w:type="paragraph" w:styleId="Sangra2detindependiente">
    <w:name w:val="Body Text Indent 2"/>
    <w:basedOn w:val="Normal"/>
    <w:pPr>
      <w:ind w:left="1416"/>
    </w:pPr>
    <w:rPr>
      <w:rFonts w:ascii="Arial" w:hAnsi="Arial"/>
      <w:sz w:val="22"/>
    </w:rPr>
  </w:style>
  <w:style w:type="paragraph" w:styleId="Sangra3detindependiente">
    <w:name w:val="Body Text Indent 3"/>
    <w:basedOn w:val="Normal"/>
    <w:pPr>
      <w:ind w:left="1416"/>
      <w:jc w:val="both"/>
    </w:pPr>
    <w:rPr>
      <w:rFonts w:ascii="Arial" w:hAnsi="Arial"/>
      <w:sz w:val="22"/>
    </w:rPr>
  </w:style>
  <w:style w:type="table" w:styleId="Tablaconcuadrcula">
    <w:name w:val="Table Grid"/>
    <w:basedOn w:val="Tablanormal"/>
    <w:rsid w:val="004B00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023C4B"/>
    <w:rPr>
      <w:rFonts w:ascii="Lucida Grande" w:hAnsi="Lucida Grande"/>
      <w:sz w:val="18"/>
      <w:szCs w:val="18"/>
    </w:rPr>
  </w:style>
  <w:style w:type="character" w:customStyle="1" w:styleId="TextodegloboCar">
    <w:name w:val="Texto de globo Car"/>
    <w:link w:val="Textodeglobo"/>
    <w:rsid w:val="00023C4B"/>
    <w:rPr>
      <w:rFonts w:ascii="Lucida Grande" w:hAnsi="Lucida Grande"/>
      <w:sz w:val="18"/>
      <w:szCs w:val="18"/>
      <w:lang w:val="es-ES"/>
    </w:rPr>
  </w:style>
  <w:style w:type="character" w:customStyle="1" w:styleId="PiedepginaCar">
    <w:name w:val="Pie de página Car"/>
    <w:link w:val="Piedepgina"/>
    <w:uiPriority w:val="99"/>
    <w:rsid w:val="00177FD8"/>
    <w:rPr>
      <w:sz w:val="24"/>
      <w:lang w:val="es-ES" w:eastAsia="es-ES"/>
    </w:rPr>
  </w:style>
  <w:style w:type="character" w:styleId="Fuerte">
    <w:name w:val="Strong"/>
    <w:uiPriority w:val="22"/>
    <w:qFormat/>
    <w:rsid w:val="002B7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569">
      <w:bodyDiv w:val="1"/>
      <w:marLeft w:val="198"/>
      <w:marRight w:val="0"/>
      <w:marTop w:val="330"/>
      <w:marBottom w:val="0"/>
      <w:divBdr>
        <w:top w:val="none" w:sz="0" w:space="0" w:color="auto"/>
        <w:left w:val="none" w:sz="0" w:space="0" w:color="auto"/>
        <w:bottom w:val="none" w:sz="0" w:space="0" w:color="auto"/>
        <w:right w:val="none" w:sz="0" w:space="0" w:color="auto"/>
      </w:divBdr>
    </w:div>
    <w:div w:id="121904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1218</Words>
  <Characters>6681</Characters>
  <Application>Microsoft Office Word</Application>
  <DocSecurity>0</DocSecurity>
  <Lines>110</Lines>
  <Paragraphs>43</Paragraphs>
  <ScaleCrop>false</ScaleCrop>
  <HeadingPairs>
    <vt:vector size="2" baseType="variant">
      <vt:variant>
        <vt:lpstr>Título</vt:lpstr>
      </vt:variant>
      <vt:variant>
        <vt:i4>1</vt:i4>
      </vt:variant>
    </vt:vector>
  </HeadingPairs>
  <TitlesOfParts>
    <vt:vector size="1" baseType="lpstr">
      <vt:lpstr>CIRCULAR</vt:lpstr>
    </vt:vector>
  </TitlesOfParts>
  <Company/>
  <LinksUpToDate>false</LinksUpToDate>
  <CharactersWithSpaces>7871</CharactersWithSpaces>
  <SharedDoc>false</SharedDoc>
  <HLinks>
    <vt:vector size="6" baseType="variant">
      <vt:variant>
        <vt:i4>7995435</vt:i4>
      </vt:variant>
      <vt:variant>
        <vt:i4>2</vt:i4>
      </vt:variant>
      <vt:variant>
        <vt:i4>0</vt:i4>
      </vt:variant>
      <vt:variant>
        <vt:i4>5</vt:i4>
      </vt:variant>
      <vt:variant>
        <vt:lpwstr>http://www.minambiente.gov.co/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dc:title>
  <dc:subject/>
  <dc:creator>MINISTERIO DEL MEDIO AMBIENTE</dc:creator>
  <cp:keywords/>
  <cp:lastModifiedBy>Paola Andrea Ramirez Sanchez</cp:lastModifiedBy>
  <cp:revision>4</cp:revision>
  <cp:lastPrinted>2014-03-26T15:54:00Z</cp:lastPrinted>
  <dcterms:created xsi:type="dcterms:W3CDTF">2026-02-17T21:41:00Z</dcterms:created>
  <dcterms:modified xsi:type="dcterms:W3CDTF">2026-02-26T19:13:00Z</dcterms:modified>
</cp:coreProperties>
</file>