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47" w:rsidRDefault="007E4A47" w:rsidP="007E4A47">
      <w:pPr>
        <w:spacing w:after="0"/>
        <w:ind w:left="708"/>
        <w:rPr>
          <w:b/>
          <w:sz w:val="32"/>
        </w:rPr>
      </w:pPr>
      <w:r>
        <w:rPr>
          <w:b/>
          <w:noProof/>
          <w:sz w:val="32"/>
          <w:lang w:eastAsia="es-ES"/>
        </w:rPr>
        <w:drawing>
          <wp:anchor distT="0" distB="0" distL="114300" distR="114300" simplePos="0" relativeHeight="251659264" behindDoc="0" locked="0" layoutInCell="1" allowOverlap="1" wp14:anchorId="0E321477" wp14:editId="3247C1EB">
            <wp:simplePos x="0" y="0"/>
            <wp:positionH relativeFrom="column">
              <wp:posOffset>-1188085</wp:posOffset>
            </wp:positionH>
            <wp:positionV relativeFrom="paragraph">
              <wp:posOffset>0</wp:posOffset>
            </wp:positionV>
            <wp:extent cx="7759700" cy="107854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0" cy="10785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s-ES"/>
        </w:rPr>
        <mc:AlternateContent>
          <mc:Choice Requires="wps">
            <w:drawing>
              <wp:anchor distT="0" distB="0" distL="114300" distR="114300" simplePos="0" relativeHeight="251660288" behindDoc="0" locked="0" layoutInCell="1" allowOverlap="1" wp14:anchorId="05E7200D" wp14:editId="0EC557BC">
                <wp:simplePos x="0" y="0"/>
                <wp:positionH relativeFrom="column">
                  <wp:posOffset>1158240</wp:posOffset>
                </wp:positionH>
                <wp:positionV relativeFrom="paragraph">
                  <wp:posOffset>3900805</wp:posOffset>
                </wp:positionV>
                <wp:extent cx="3276600" cy="23431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rsidR="007E4A47" w:rsidRPr="00EF4242" w:rsidRDefault="007E4A47" w:rsidP="007E4A47">
                            <w:pPr>
                              <w:jc w:val="center"/>
                              <w:rPr>
                                <w:rFonts w:ascii="Arial" w:hAnsi="Arial" w:cs="Arial"/>
                                <w:b/>
                                <w:sz w:val="20"/>
                                <w:szCs w:val="20"/>
                              </w:rPr>
                            </w:pPr>
                          </w:p>
                          <w:p w:rsidR="007E4A47" w:rsidRPr="00EF4242" w:rsidRDefault="007E4A47" w:rsidP="007E4A47">
                            <w:pPr>
                              <w:jc w:val="center"/>
                              <w:rPr>
                                <w:rFonts w:ascii="Arial" w:hAnsi="Arial" w:cs="Arial"/>
                                <w:b/>
                                <w:sz w:val="36"/>
                                <w:szCs w:val="36"/>
                              </w:rPr>
                            </w:pPr>
                            <w:r>
                              <w:rPr>
                                <w:rFonts w:ascii="Arial" w:hAnsi="Arial" w:cs="Arial"/>
                                <w:b/>
                                <w:sz w:val="36"/>
                                <w:szCs w:val="36"/>
                              </w:rPr>
                              <w:t>¿Requiere la industria la planta de Regasificación?</w:t>
                            </w:r>
                          </w:p>
                          <w:p w:rsidR="007E4A47" w:rsidRDefault="007E4A47" w:rsidP="007E4A47">
                            <w:pPr>
                              <w:jc w:val="center"/>
                              <w:rPr>
                                <w:rFonts w:ascii="Arial" w:hAnsi="Arial" w:cs="Arial"/>
                                <w:b/>
                                <w:sz w:val="40"/>
                                <w:szCs w:val="40"/>
                              </w:rPr>
                            </w:pPr>
                            <w:r>
                              <w:rPr>
                                <w:rFonts w:ascii="Arial" w:hAnsi="Arial" w:cs="Arial"/>
                                <w:sz w:val="36"/>
                                <w:szCs w:val="36"/>
                              </w:rPr>
                              <w:t>Agosto del 2017</w:t>
                            </w: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Pr="00B93051" w:rsidRDefault="007E4A47" w:rsidP="007E4A47">
                            <w:pPr>
                              <w:jc w:val="center"/>
                              <w:rPr>
                                <w:rFonts w:ascii="Arial" w:hAnsi="Arial" w:cs="Arial"/>
                                <w:sz w:val="36"/>
                                <w:szCs w:val="36"/>
                              </w:rPr>
                            </w:pPr>
                            <w:r w:rsidRPr="00B93051">
                              <w:rPr>
                                <w:rFonts w:ascii="Arial" w:hAnsi="Arial" w:cs="Arial"/>
                                <w:sz w:val="36"/>
                                <w:szCs w:val="36"/>
                              </w:rPr>
                              <w:t>Octubre 2016</w:t>
                            </w:r>
                          </w:p>
                          <w:p w:rsidR="007E4A47" w:rsidRPr="002E3796" w:rsidRDefault="007E4A47" w:rsidP="007E4A47">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7200D" id="_x0000_t202" coordsize="21600,21600" o:spt="202" path="m,l,21600r21600,l21600,xe">
                <v:stroke joinstyle="miter"/>
                <v:path gradientshapeok="t" o:connecttype="rect"/>
              </v:shapetype>
              <v:shape id="Cuadro de texto 7" o:spid="_x0000_s1026" type="#_x0000_t202" style="position:absolute;left:0;text-align:left;margin-left:91.2pt;margin-top:307.15pt;width:258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AIAAMEFAAAOAAAAZHJzL2Uyb0RvYy54bWysVNtu3CAQfa/Uf0C8O74se7EVb5Ss11Wl&#10;9CKl/QDW4DWqDS6w8aZV/70D3lvSPlRt/WABM5yZM3OY65t916JHro1QMsfxVYQRl5ViQm5z/PlT&#10;GSwwMpZKRlsleY6fuME3y9evroc+44lqVMu4RgAiTTb0OW6s7bMwNFXDO2quVM8lGGulO2phq7ch&#10;03QA9K4NkyiahYPSrNeq4sbAaTEa8dLj1zWv7Ie6NtyiNseQm/V/7f8b9w+X1zTbato3ojqkQf8i&#10;i44KCUFPUAW1FO20+AWqE5VWRtX2qlJdqOpaVNxzADZx9ILNQ0N77rlAcUx/KpP5f7DV+8ePGgmW&#10;4zlGknbQotWOMq0Q48jyvVVo7oo09CYD34cevO3+Tu2h2Z6w6e9V9cUgqVYNlVt+q7UaGk4ZJBm7&#10;m+HF1RHHOJDN8E4xiEZ3Vnmgfa07V0GoCQJ0aNbTqUGQB6rgcJLMZ7MITBXYkgmZxFPfwpBmx+u9&#10;NvYNVx1yixxrUICHp4/3xrp0aHZ0cdGkKkXbehW08tkBOI4nEByuOptLwzf1exql68V6QQKSzNYB&#10;iYoiuC1XJJiV8XxaTIrVqoh/uLgxyRrBGJcuzFFgMfmzBh6kPkrjJDGjWsEcnEvJ6O1m1Wr0SEHg&#10;pf980cFydgufp+GLAFxeUIoTEt0laVDOFvOAlGQapPNoEURxepfOIpKSonxO6V5I/u+U0JDjdJpM&#10;RzWdk/4NN+j82MELbjTrhIUR0ooux4vIfc6JZk6Da8n82lLRjuuLUrj0z6WAdh8b7RXrRDrK1e43&#10;e0BxMt4o9gTa1QqUBSqEuQeLRulvGA0wQ3Jsvu6o5hi1byXoP40JcUPHb8h0nsBGX1o2lxYqK4DK&#10;scVoXK7sOKh2vRbbBiKNL06qW3gztfBqPmd1eGkwJzypw0xzg+hy773Ok3f5EwAA//8DAFBLAwQU&#10;AAYACAAAACEANjD4o+EAAAALAQAADwAAAGRycy9kb3ducmV2LnhtbEyPwU7DMAyG70i8Q2Qkbizd&#10;OlVdaToB0kBCXDaYJm5ZY9pqiVM16VbeHnOC429/+v25XE/OijMOofOkYD5LQCDV3nTUKPh439zl&#10;IELUZLT1hAq+McC6ur4qdWH8hbZ43sVGcAmFQitoY+wLKUPdotNh5nsk3n35wenIcWikGfSFy52V&#10;iyTJpNMd8YVW9/jUYn3ajU4BjZ/B1q9vp8N2Mz7q533aZNmLUrc308M9iIhT/IPhV5/VoWKnox/J&#10;BGE554slowqy+TIFwUS2ynlyVLDK0xRkVcr/P1Q/AAAA//8DAFBLAQItABQABgAIAAAAIQC2gziS&#10;/gAAAOEBAAATAAAAAAAAAAAAAAAAAAAAAABbQ29udGVudF9UeXBlc10ueG1sUEsBAi0AFAAGAAgA&#10;AAAhADj9If/WAAAAlAEAAAsAAAAAAAAAAAAAAAAALwEAAF9yZWxzLy5yZWxzUEsBAi0AFAAGAAgA&#10;AAAhAINL76TAAgAAwQUAAA4AAAAAAAAAAAAAAAAALgIAAGRycy9lMm9Eb2MueG1sUEsBAi0AFAAG&#10;AAgAAAAhADYw+KPhAAAACwEAAA8AAAAAAAAAAAAAAAAAGgUAAGRycy9kb3ducmV2LnhtbFBLBQYA&#10;AAAABAAEAPMAAAAoBgAAAAA=&#10;" filled="f" stroked="f" strokecolor="yellow">
                <v:textbox>
                  <w:txbxContent>
                    <w:p w:rsidR="007E4A47" w:rsidRPr="00EF4242" w:rsidRDefault="007E4A47" w:rsidP="007E4A47">
                      <w:pPr>
                        <w:jc w:val="center"/>
                        <w:rPr>
                          <w:rFonts w:ascii="Arial" w:hAnsi="Arial" w:cs="Arial"/>
                          <w:b/>
                          <w:sz w:val="20"/>
                          <w:szCs w:val="20"/>
                        </w:rPr>
                      </w:pPr>
                    </w:p>
                    <w:p w:rsidR="007E4A47" w:rsidRPr="00EF4242" w:rsidRDefault="007E4A47" w:rsidP="007E4A47">
                      <w:pPr>
                        <w:jc w:val="center"/>
                        <w:rPr>
                          <w:rFonts w:ascii="Arial" w:hAnsi="Arial" w:cs="Arial"/>
                          <w:b/>
                          <w:sz w:val="36"/>
                          <w:szCs w:val="36"/>
                        </w:rPr>
                      </w:pPr>
                      <w:r>
                        <w:rPr>
                          <w:rFonts w:ascii="Arial" w:hAnsi="Arial" w:cs="Arial"/>
                          <w:b/>
                          <w:sz w:val="36"/>
                          <w:szCs w:val="36"/>
                        </w:rPr>
                        <w:t>¿</w:t>
                      </w:r>
                      <w:bookmarkStart w:id="1" w:name="_GoBack"/>
                      <w:bookmarkEnd w:id="1"/>
                      <w:r>
                        <w:rPr>
                          <w:rFonts w:ascii="Arial" w:hAnsi="Arial" w:cs="Arial"/>
                          <w:b/>
                          <w:sz w:val="36"/>
                          <w:szCs w:val="36"/>
                        </w:rPr>
                        <w:t>Requiere la industria la planta de Regasificación?</w:t>
                      </w:r>
                    </w:p>
                    <w:p w:rsidR="007E4A47" w:rsidRDefault="007E4A47" w:rsidP="007E4A47">
                      <w:pPr>
                        <w:jc w:val="center"/>
                        <w:rPr>
                          <w:rFonts w:ascii="Arial" w:hAnsi="Arial" w:cs="Arial"/>
                          <w:b/>
                          <w:sz w:val="40"/>
                          <w:szCs w:val="40"/>
                        </w:rPr>
                      </w:pPr>
                      <w:r>
                        <w:rPr>
                          <w:rFonts w:ascii="Arial" w:hAnsi="Arial" w:cs="Arial"/>
                          <w:sz w:val="36"/>
                          <w:szCs w:val="36"/>
                        </w:rPr>
                        <w:t>Agosto del 2017</w:t>
                      </w: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Default="007E4A47" w:rsidP="007E4A47">
                      <w:pPr>
                        <w:jc w:val="center"/>
                        <w:rPr>
                          <w:rFonts w:ascii="Arial" w:hAnsi="Arial" w:cs="Arial"/>
                          <w:b/>
                          <w:sz w:val="40"/>
                          <w:szCs w:val="40"/>
                        </w:rPr>
                      </w:pPr>
                    </w:p>
                    <w:p w:rsidR="007E4A47" w:rsidRPr="00B93051" w:rsidRDefault="007E4A47" w:rsidP="007E4A47">
                      <w:pPr>
                        <w:jc w:val="center"/>
                        <w:rPr>
                          <w:rFonts w:ascii="Arial" w:hAnsi="Arial" w:cs="Arial"/>
                          <w:sz w:val="36"/>
                          <w:szCs w:val="36"/>
                        </w:rPr>
                      </w:pPr>
                      <w:r w:rsidRPr="00B93051">
                        <w:rPr>
                          <w:rFonts w:ascii="Arial" w:hAnsi="Arial" w:cs="Arial"/>
                          <w:sz w:val="36"/>
                          <w:szCs w:val="36"/>
                        </w:rPr>
                        <w:t>Octubre 2016</w:t>
                      </w:r>
                    </w:p>
                    <w:p w:rsidR="007E4A47" w:rsidRPr="002E3796" w:rsidRDefault="007E4A47" w:rsidP="007E4A47">
                      <w:pPr>
                        <w:rPr>
                          <w:sz w:val="40"/>
                          <w:szCs w:val="40"/>
                        </w:rPr>
                      </w:pPr>
                    </w:p>
                  </w:txbxContent>
                </v:textbox>
              </v:shape>
            </w:pict>
          </mc:Fallback>
        </mc:AlternateContent>
      </w:r>
      <w:r w:rsidRPr="00C01C63">
        <w:rPr>
          <w:b/>
          <w:sz w:val="32"/>
        </w:rPr>
        <w:t>men Reforma</w:t>
      </w:r>
    </w:p>
    <w:p w:rsidR="007E4A47" w:rsidRDefault="007E4A47" w:rsidP="007E4A47">
      <w:pPr>
        <w:ind w:left="708"/>
        <w:rPr>
          <w:b/>
          <w:color w:val="000000"/>
          <w:sz w:val="36"/>
          <w:szCs w:val="36"/>
        </w:rPr>
        <w:sectPr w:rsidR="007E4A47" w:rsidSect="00CE6D94">
          <w:footerReference w:type="default" r:id="rId9"/>
          <w:pgSz w:w="11906" w:h="16838"/>
          <w:pgMar w:top="-142" w:right="1701" w:bottom="1418" w:left="1871" w:header="709" w:footer="709" w:gutter="0"/>
          <w:cols w:space="708"/>
          <w:docGrid w:linePitch="360"/>
        </w:sectPr>
      </w:pPr>
    </w:p>
    <w:p w:rsidR="007E4A47" w:rsidRPr="00C07242" w:rsidRDefault="007E4A47" w:rsidP="007E4A47">
      <w:pPr>
        <w:ind w:left="708"/>
        <w:rPr>
          <w:b/>
          <w:color w:val="000000"/>
          <w:sz w:val="36"/>
          <w:szCs w:val="36"/>
        </w:rPr>
      </w:pPr>
      <w:r>
        <w:rPr>
          <w:b/>
          <w:color w:val="000000"/>
          <w:sz w:val="36"/>
          <w:szCs w:val="36"/>
        </w:rPr>
        <w:lastRenderedPageBreak/>
        <w:t xml:space="preserve">LA ENERGÍA </w:t>
      </w:r>
      <w:r w:rsidRPr="00C07242">
        <w:rPr>
          <w:b/>
          <w:color w:val="000000"/>
          <w:sz w:val="36"/>
          <w:szCs w:val="36"/>
        </w:rPr>
        <w:t>EL INSUMO DE TODA LA INDUSTRIA</w:t>
      </w: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rPr>
          <w:b/>
          <w:color w:val="FF0000"/>
          <w:u w:val="single"/>
        </w:rPr>
      </w:pPr>
    </w:p>
    <w:p w:rsidR="007E4A47" w:rsidRDefault="007E4A47" w:rsidP="007E4A47">
      <w:pPr>
        <w:ind w:left="708"/>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Pr="00B93051" w:rsidRDefault="007E4A47" w:rsidP="007E4A47">
      <w:pPr>
        <w:ind w:left="708"/>
        <w:jc w:val="center"/>
        <w:rPr>
          <w:b/>
        </w:rPr>
      </w:pPr>
      <w:r w:rsidRPr="00B93051">
        <w:rPr>
          <w:b/>
        </w:rPr>
        <w:t xml:space="preserve">DANIEL </w:t>
      </w:r>
      <w:r>
        <w:rPr>
          <w:b/>
        </w:rPr>
        <w:t xml:space="preserve">VICENTE </w:t>
      </w:r>
      <w:r w:rsidRPr="00B93051">
        <w:rPr>
          <w:b/>
        </w:rPr>
        <w:t>ROMERO MELO</w:t>
      </w:r>
    </w:p>
    <w:p w:rsidR="007E4A47" w:rsidRPr="00F5783C" w:rsidRDefault="007E4A47" w:rsidP="007E4A47">
      <w:pPr>
        <w:ind w:left="708"/>
        <w:jc w:val="center"/>
      </w:pPr>
      <w:r w:rsidRPr="00F5783C">
        <w:t>Director Ejecutivo</w:t>
      </w:r>
    </w:p>
    <w:p w:rsidR="007E4A47" w:rsidRPr="00F5783C" w:rsidRDefault="007E4A47" w:rsidP="007E4A47">
      <w:pPr>
        <w:ind w:left="708"/>
        <w:jc w:val="center"/>
      </w:pPr>
    </w:p>
    <w:p w:rsidR="007E4A47" w:rsidRPr="00B93051" w:rsidRDefault="007E4A47" w:rsidP="007E4A47">
      <w:pPr>
        <w:ind w:left="708"/>
        <w:jc w:val="center"/>
        <w:rPr>
          <w:b/>
        </w:rPr>
      </w:pPr>
      <w:r w:rsidRPr="00B93051">
        <w:rPr>
          <w:b/>
        </w:rPr>
        <w:t>MATEO PORRAS OCAMPO</w:t>
      </w:r>
    </w:p>
    <w:p w:rsidR="007E4A47" w:rsidRPr="00F5783C" w:rsidRDefault="007E4A47" w:rsidP="007E4A47">
      <w:pPr>
        <w:ind w:left="708"/>
        <w:jc w:val="center"/>
      </w:pPr>
      <w:r w:rsidRPr="00F5783C">
        <w:t>Asistente</w:t>
      </w: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ind w:left="708"/>
        <w:jc w:val="center"/>
        <w:rPr>
          <w:b/>
          <w:color w:val="FF0000"/>
          <w:u w:val="single"/>
        </w:rPr>
      </w:pPr>
    </w:p>
    <w:p w:rsidR="007E4A47" w:rsidRDefault="007E4A47" w:rsidP="007E4A47">
      <w:pPr>
        <w:spacing w:after="0"/>
        <w:ind w:left="708"/>
        <w:jc w:val="center"/>
        <w:rPr>
          <w:b/>
          <w:sz w:val="32"/>
        </w:rPr>
      </w:pPr>
    </w:p>
    <w:p w:rsidR="007E4A47" w:rsidRDefault="007E4A47" w:rsidP="007E4A47">
      <w:pPr>
        <w:spacing w:after="0"/>
        <w:ind w:left="708"/>
        <w:jc w:val="center"/>
        <w:rPr>
          <w:b/>
          <w:sz w:val="32"/>
        </w:rPr>
      </w:pPr>
    </w:p>
    <w:p w:rsidR="007E4A47" w:rsidRDefault="007E4A47" w:rsidP="007E4A47">
      <w:pPr>
        <w:spacing w:after="0"/>
        <w:ind w:left="708"/>
        <w:jc w:val="center"/>
        <w:rPr>
          <w:b/>
          <w:sz w:val="32"/>
        </w:rPr>
      </w:pPr>
    </w:p>
    <w:p w:rsidR="007E4A47" w:rsidRDefault="007E4A47" w:rsidP="007E4A47">
      <w:pPr>
        <w:spacing w:after="0"/>
        <w:ind w:left="708"/>
        <w:jc w:val="center"/>
        <w:rPr>
          <w:b/>
          <w:sz w:val="32"/>
        </w:rPr>
      </w:pPr>
    </w:p>
    <w:p w:rsidR="007E4A47" w:rsidRDefault="007E4A47" w:rsidP="007E4A47">
      <w:pPr>
        <w:spacing w:after="0"/>
        <w:ind w:left="708"/>
        <w:jc w:val="center"/>
        <w:rPr>
          <w:b/>
          <w:sz w:val="32"/>
        </w:rPr>
      </w:pPr>
    </w:p>
    <w:p w:rsidR="007E4A47" w:rsidRDefault="007E4A47" w:rsidP="007E4A47">
      <w:pPr>
        <w:spacing w:after="0"/>
        <w:ind w:left="708"/>
        <w:jc w:val="center"/>
        <w:rPr>
          <w:b/>
          <w:sz w:val="32"/>
        </w:rPr>
      </w:pPr>
    </w:p>
    <w:p w:rsidR="0064769B" w:rsidRPr="00CE0170" w:rsidRDefault="00FC39A8" w:rsidP="00CE0170">
      <w:pPr>
        <w:ind w:left="708"/>
        <w:rPr>
          <w:b/>
          <w:color w:val="000000"/>
          <w:sz w:val="36"/>
          <w:szCs w:val="36"/>
        </w:rPr>
      </w:pPr>
      <w:r>
        <w:rPr>
          <w:b/>
          <w:color w:val="000000"/>
          <w:sz w:val="36"/>
          <w:szCs w:val="36"/>
        </w:rPr>
        <w:t xml:space="preserve">LA ENERGÍA </w:t>
      </w:r>
      <w:r w:rsidRPr="00C07242">
        <w:rPr>
          <w:b/>
          <w:color w:val="000000"/>
          <w:sz w:val="36"/>
          <w:szCs w:val="36"/>
        </w:rPr>
        <w:t>EL INSUMO DE TODA LA INDUSTRIA</w:t>
      </w:r>
      <w:bookmarkStart w:id="0" w:name="_GoBack"/>
      <w:bookmarkEnd w:id="0"/>
    </w:p>
    <w:p w:rsidR="0064769B" w:rsidRDefault="0064769B" w:rsidP="005B4E17">
      <w:pPr>
        <w:pStyle w:val="Ttulo"/>
        <w:jc w:val="center"/>
      </w:pPr>
    </w:p>
    <w:p w:rsidR="0064769B" w:rsidRDefault="0064769B" w:rsidP="005B4E17">
      <w:pPr>
        <w:pStyle w:val="Ttulo"/>
        <w:jc w:val="center"/>
      </w:pPr>
    </w:p>
    <w:p w:rsidR="00FC42B4" w:rsidRDefault="00D31243" w:rsidP="005B4E17">
      <w:pPr>
        <w:pStyle w:val="Ttulo"/>
        <w:jc w:val="center"/>
      </w:pPr>
      <w:r>
        <w:t>¿Se requiere la planta de GLN para atender la demanda industrial?</w:t>
      </w:r>
    </w:p>
    <w:p w:rsidR="0064769B" w:rsidRPr="0064769B" w:rsidRDefault="0064769B" w:rsidP="0064769B"/>
    <w:p w:rsidR="005B4E17" w:rsidRDefault="00514960" w:rsidP="005B4E17">
      <w:pPr>
        <w:pStyle w:val="Ttulo1"/>
        <w:numPr>
          <w:ilvl w:val="0"/>
          <w:numId w:val="4"/>
        </w:numPr>
      </w:pPr>
      <w:r w:rsidRPr="00514960">
        <w:t>Planta</w:t>
      </w:r>
      <w:r w:rsidR="00D31243">
        <w:t xml:space="preserve"> de GLN proyectada por la UPME</w:t>
      </w:r>
    </w:p>
    <w:p w:rsidR="005B4E17" w:rsidRDefault="005B4E17" w:rsidP="00736B10">
      <w:pPr>
        <w:jc w:val="both"/>
      </w:pPr>
    </w:p>
    <w:p w:rsidR="00D31243" w:rsidRDefault="00FD7486" w:rsidP="00736B10">
      <w:pPr>
        <w:jc w:val="both"/>
      </w:pPr>
      <w:r>
        <w:t>La p</w:t>
      </w:r>
      <w:r w:rsidR="00514960">
        <w:t xml:space="preserve">lanta de </w:t>
      </w:r>
      <w:r>
        <w:t>r</w:t>
      </w:r>
      <w:r w:rsidR="00514960">
        <w:t>egasificación del pacifico es una inversión</w:t>
      </w:r>
      <w:r w:rsidR="004F6712">
        <w:t xml:space="preserve"> que contará</w:t>
      </w:r>
      <w:r w:rsidR="00D31243">
        <w:t xml:space="preserve"> con una capacidad de importación de 400</w:t>
      </w:r>
      <w:r w:rsidR="004F6712">
        <w:t xml:space="preserve"> </w:t>
      </w:r>
      <w:r w:rsidR="00D31243">
        <w:t>MPCD de gas</w:t>
      </w:r>
      <w:r w:rsidR="004F6712">
        <w:t xml:space="preserve"> y 171.000 m3 de almacenamiento. Adicionalmente, para conectar a la planta con el Sistema, se construirá e</w:t>
      </w:r>
      <w:r>
        <w:t xml:space="preserve">l </w:t>
      </w:r>
      <w:r w:rsidR="004F6712">
        <w:t xml:space="preserve">gaseoducto Buenaventura – Yumbo, el cual contará con una longitud de </w:t>
      </w:r>
      <w:r w:rsidR="00FC384E">
        <w:t>102</w:t>
      </w:r>
      <w:r w:rsidR="00D31243">
        <w:t xml:space="preserve"> Kmts</w:t>
      </w:r>
      <w:r w:rsidR="00FC384E">
        <w:t xml:space="preserve"> en un diámetro de 30 pulgadas </w:t>
      </w:r>
      <w:r w:rsidR="004F6712">
        <w:t xml:space="preserve">y una capacidad de 450MPCD. Igualmente se construirá una infraestructura </w:t>
      </w:r>
      <w:r w:rsidR="00FC384E">
        <w:t>de compresión de 40 mil hp</w:t>
      </w:r>
      <w:r w:rsidR="00D31243">
        <w:t xml:space="preserve">, situado en la región de la costa </w:t>
      </w:r>
      <w:r w:rsidR="007E4E1F">
        <w:t>pacífica</w:t>
      </w:r>
      <w:r w:rsidR="00D31243">
        <w:t>.</w:t>
      </w:r>
    </w:p>
    <w:p w:rsidR="00D31243" w:rsidRDefault="00D31243" w:rsidP="00736B10">
      <w:pPr>
        <w:jc w:val="both"/>
      </w:pPr>
      <w:r>
        <w:t xml:space="preserve">El </w:t>
      </w:r>
      <w:r w:rsidR="00514960">
        <w:t>costo aproximado</w:t>
      </w:r>
      <w:r w:rsidR="004F6712">
        <w:t xml:space="preserve"> de todas las inversiones mencionadas </w:t>
      </w:r>
      <w:r>
        <w:t xml:space="preserve">es </w:t>
      </w:r>
      <w:r w:rsidR="00514960">
        <w:t xml:space="preserve">de 720 millones de dólares. Repartidos en el valor de la planta (400 millones de dólares), el valor del gaseoducto Buenaventura – Yumbo (161 millones de dólares) y un valor estimado de 141 millones de dólares </w:t>
      </w:r>
      <w:r w:rsidR="00174DBF">
        <w:t>pa</w:t>
      </w:r>
      <w:r w:rsidR="00514960">
        <w:t>r</w:t>
      </w:r>
      <w:r w:rsidR="00174DBF">
        <w:t>a</w:t>
      </w:r>
      <w:r w:rsidR="00514960">
        <w:t xml:space="preserve"> la infraestructura de comprensión. </w:t>
      </w:r>
    </w:p>
    <w:p w:rsidR="00514960" w:rsidRDefault="00D31243" w:rsidP="00736B10">
      <w:pPr>
        <w:jc w:val="both"/>
        <w:rPr>
          <w:u w:val="single"/>
        </w:rPr>
      </w:pPr>
      <w:r>
        <w:t xml:space="preserve">Con una tasa de remuneración de </w:t>
      </w:r>
      <w:r w:rsidR="00FC384E">
        <w:t xml:space="preserve">16.4%EA, </w:t>
      </w:r>
      <w:r w:rsidR="00514960">
        <w:t>implicará un Ingreso Medio Esperado de 9.6 millones de dólares</w:t>
      </w:r>
      <w:r w:rsidR="00FD7486">
        <w:t xml:space="preserve"> mensuales</w:t>
      </w:r>
      <w:r w:rsidR="00514960">
        <w:t xml:space="preserve">, </w:t>
      </w:r>
      <w:r>
        <w:t xml:space="preserve">que si es asumida por toda la demanda nacional generaría </w:t>
      </w:r>
      <w:r w:rsidR="00514960">
        <w:t xml:space="preserve">un sobrecosto de 33 centavos de dólar por MBTU en un periodo de 10 años. </w:t>
      </w:r>
      <w:r w:rsidR="00514960" w:rsidRPr="00736B10">
        <w:rPr>
          <w:u w:val="single"/>
        </w:rPr>
        <w:t xml:space="preserve"> </w:t>
      </w:r>
    </w:p>
    <w:p w:rsidR="0064769B" w:rsidRPr="0064769B" w:rsidRDefault="0064769B" w:rsidP="00736B10">
      <w:pPr>
        <w:jc w:val="both"/>
      </w:pPr>
      <w:r w:rsidRPr="0064769B">
        <w:t>De acuerdo</w:t>
      </w:r>
      <w:r>
        <w:t xml:space="preserve"> al Plan Transitorio de Abastecimiento, </w:t>
      </w:r>
      <w:r w:rsidR="002528AB">
        <w:t xml:space="preserve">en </w:t>
      </w:r>
      <w:r>
        <w:t>mayo del 2018 se seleccionará el inversionista, posterior</w:t>
      </w:r>
      <w:r w:rsidR="000011E9">
        <w:t>mente</w:t>
      </w:r>
      <w:r w:rsidR="002528AB">
        <w:t xml:space="preserve"> se elaborará </w:t>
      </w:r>
      <w:r>
        <w:t>los respectivos estudios amiéntales y consultas previas</w:t>
      </w:r>
      <w:r w:rsidR="000011E9">
        <w:t xml:space="preserve"> y</w:t>
      </w:r>
      <w:r w:rsidR="002528AB">
        <w:t xml:space="preserve"> en diciembre del 2019 iniciaría</w:t>
      </w:r>
      <w:r>
        <w:t xml:space="preserve"> la construcción de la planta, </w:t>
      </w:r>
      <w:r w:rsidR="002528AB">
        <w:t>para entrar</w:t>
      </w:r>
      <w:r>
        <w:t xml:space="preserve"> al sistema en diciembre del 2021.   </w:t>
      </w:r>
    </w:p>
    <w:p w:rsidR="00FC42B4" w:rsidRPr="00174DBF" w:rsidRDefault="00FC42B4" w:rsidP="005B4E17">
      <w:pPr>
        <w:pStyle w:val="Ttulo1"/>
        <w:numPr>
          <w:ilvl w:val="0"/>
          <w:numId w:val="4"/>
        </w:numPr>
      </w:pPr>
      <w:r w:rsidRPr="00174DBF">
        <w:lastRenderedPageBreak/>
        <w:t xml:space="preserve">Balance de OFERTA DEMANDA </w:t>
      </w:r>
    </w:p>
    <w:p w:rsidR="005B4E17" w:rsidRDefault="005B4E17" w:rsidP="005B4E17">
      <w:pPr>
        <w:pStyle w:val="Ttulo2"/>
        <w:numPr>
          <w:ilvl w:val="1"/>
          <w:numId w:val="4"/>
        </w:numPr>
      </w:pPr>
      <w:r>
        <w:t>Balance UPME</w:t>
      </w:r>
    </w:p>
    <w:p w:rsidR="009833AF" w:rsidRDefault="009833AF" w:rsidP="002B3950">
      <w:pPr>
        <w:pStyle w:val="Ttulo3"/>
        <w:numPr>
          <w:ilvl w:val="2"/>
          <w:numId w:val="4"/>
        </w:numPr>
      </w:pPr>
      <w:r>
        <w:t>Oferta</w:t>
      </w:r>
    </w:p>
    <w:p w:rsidR="009833AF" w:rsidRDefault="009833AF" w:rsidP="009833AF">
      <w:pPr>
        <w:jc w:val="center"/>
      </w:pPr>
      <w:r>
        <w:rPr>
          <w:noProof/>
          <w:lang w:eastAsia="es-ES"/>
        </w:rPr>
        <w:drawing>
          <wp:inline distT="0" distB="0" distL="0" distR="0" wp14:anchorId="16CE9A01" wp14:editId="0EF6DB47">
            <wp:extent cx="3924300" cy="2842164"/>
            <wp:effectExtent l="19050" t="19050" r="19050"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8035" cy="2852112"/>
                    </a:xfrm>
                    <a:prstGeom prst="rect">
                      <a:avLst/>
                    </a:prstGeom>
                    <a:ln>
                      <a:solidFill>
                        <a:schemeClr val="accent1"/>
                      </a:solidFill>
                    </a:ln>
                  </pic:spPr>
                </pic:pic>
              </a:graphicData>
            </a:graphic>
          </wp:inline>
        </w:drawing>
      </w:r>
    </w:p>
    <w:p w:rsidR="009833AF" w:rsidRDefault="009833AF" w:rsidP="009833AF">
      <w:pPr>
        <w:ind w:left="708"/>
        <w:jc w:val="both"/>
        <w:rPr>
          <w:sz w:val="18"/>
          <w:szCs w:val="18"/>
        </w:rPr>
      </w:pPr>
      <w:r w:rsidRPr="005B4E17">
        <w:rPr>
          <w:sz w:val="18"/>
          <w:szCs w:val="18"/>
        </w:rPr>
        <w:t xml:space="preserve">Fuente: Plan de Abastecimiento de Gas Natural – Nov 2016, formalizado en Resolución Minminas </w:t>
      </w:r>
    </w:p>
    <w:p w:rsidR="009833AF" w:rsidRDefault="00D31243" w:rsidP="004F6712">
      <w:pPr>
        <w:ind w:left="708"/>
        <w:jc w:val="both"/>
      </w:pPr>
      <w:r>
        <w:t>El balance de oferta de la UPME c</w:t>
      </w:r>
      <w:r w:rsidR="009833AF">
        <w:t xml:space="preserve">onsidera los 400 MPCD de la planta de GLN </w:t>
      </w:r>
      <w:r>
        <w:t xml:space="preserve">del caribe, </w:t>
      </w:r>
      <w:r w:rsidR="009833AF">
        <w:t xml:space="preserve">durante todo el periodo </w:t>
      </w:r>
      <w:r>
        <w:t xml:space="preserve">(hasta el 2025) </w:t>
      </w:r>
      <w:r w:rsidR="009833AF">
        <w:t xml:space="preserve">y no solamente </w:t>
      </w:r>
      <w:r>
        <w:t xml:space="preserve">el gas </w:t>
      </w:r>
      <w:r w:rsidR="009833AF">
        <w:t>requerido por las plantas térmicas.</w:t>
      </w:r>
    </w:p>
    <w:p w:rsidR="009833AF" w:rsidRDefault="009833AF" w:rsidP="009833AF">
      <w:pPr>
        <w:pStyle w:val="Ttulo3"/>
        <w:numPr>
          <w:ilvl w:val="2"/>
          <w:numId w:val="4"/>
        </w:numPr>
      </w:pPr>
      <w:r>
        <w:t>Demanda</w:t>
      </w:r>
    </w:p>
    <w:p w:rsidR="00D31243" w:rsidRPr="00D31243" w:rsidRDefault="00D31243" w:rsidP="00FD7486">
      <w:pPr>
        <w:jc w:val="both"/>
      </w:pPr>
      <w:r>
        <w:t>La siguiente gráfica presenta la demanda actual de gas y las proyecciones de crecimiento establecidas por la UPME en el Plan de Abastecimiento de Gas Natural.</w:t>
      </w:r>
    </w:p>
    <w:tbl>
      <w:tblPr>
        <w:tblW w:w="9040" w:type="dxa"/>
        <w:tblCellMar>
          <w:left w:w="70" w:type="dxa"/>
          <w:right w:w="70" w:type="dxa"/>
        </w:tblCellMar>
        <w:tblLook w:val="04A0" w:firstRow="1" w:lastRow="0" w:firstColumn="1" w:lastColumn="0" w:noHBand="0" w:noVBand="1"/>
      </w:tblPr>
      <w:tblGrid>
        <w:gridCol w:w="2080"/>
        <w:gridCol w:w="1500"/>
        <w:gridCol w:w="1500"/>
        <w:gridCol w:w="1320"/>
        <w:gridCol w:w="1320"/>
        <w:gridCol w:w="1320"/>
      </w:tblGrid>
      <w:tr w:rsidR="009E0806" w:rsidRPr="009E0806" w:rsidTr="009E0806">
        <w:trPr>
          <w:trHeight w:val="480"/>
        </w:trPr>
        <w:tc>
          <w:tcPr>
            <w:tcW w:w="2080" w:type="dxa"/>
            <w:vMerge w:val="restart"/>
            <w:tcBorders>
              <w:top w:val="single" w:sz="12" w:space="0" w:color="auto"/>
              <w:left w:val="single" w:sz="12" w:space="0" w:color="auto"/>
              <w:bottom w:val="single" w:sz="4" w:space="0" w:color="auto"/>
              <w:right w:val="single" w:sz="4" w:space="0" w:color="auto"/>
            </w:tcBorders>
            <w:shd w:val="clear" w:color="000000" w:fill="D9D9D9"/>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Sector</w:t>
            </w:r>
          </w:p>
        </w:tc>
        <w:tc>
          <w:tcPr>
            <w:tcW w:w="3000" w:type="dxa"/>
            <w:gridSpan w:val="2"/>
            <w:tcBorders>
              <w:top w:val="single" w:sz="12" w:space="0" w:color="auto"/>
              <w:left w:val="nil"/>
              <w:bottom w:val="single" w:sz="4" w:space="0" w:color="auto"/>
              <w:right w:val="single" w:sz="4" w:space="0" w:color="auto"/>
            </w:tcBorders>
            <w:shd w:val="clear" w:color="000000" w:fill="D9D9D9"/>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Demanda GBTUD</w:t>
            </w:r>
          </w:p>
        </w:tc>
        <w:tc>
          <w:tcPr>
            <w:tcW w:w="3960" w:type="dxa"/>
            <w:gridSpan w:val="3"/>
            <w:tcBorders>
              <w:top w:val="single" w:sz="12" w:space="0" w:color="auto"/>
              <w:left w:val="nil"/>
              <w:bottom w:val="single" w:sz="4" w:space="0" w:color="auto"/>
              <w:right w:val="single" w:sz="12" w:space="0" w:color="auto"/>
            </w:tcBorders>
            <w:shd w:val="clear" w:color="000000" w:fill="D9D9D9"/>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Tasas de Crecimiento UPME</w:t>
            </w:r>
          </w:p>
        </w:tc>
      </w:tr>
      <w:tr w:rsidR="009E0806" w:rsidRPr="009E0806" w:rsidTr="009E0806">
        <w:trPr>
          <w:trHeight w:val="435"/>
        </w:trPr>
        <w:tc>
          <w:tcPr>
            <w:tcW w:w="2080" w:type="dxa"/>
            <w:vMerge/>
            <w:tcBorders>
              <w:top w:val="single" w:sz="8" w:space="0" w:color="auto"/>
              <w:left w:val="single" w:sz="12" w:space="0" w:color="auto"/>
              <w:bottom w:val="single" w:sz="4" w:space="0" w:color="auto"/>
              <w:right w:val="single" w:sz="4" w:space="0" w:color="auto"/>
            </w:tcBorders>
            <w:vAlign w:val="center"/>
            <w:hideMark/>
          </w:tcPr>
          <w:p w:rsidR="009E0806" w:rsidRPr="009E0806" w:rsidRDefault="009E0806" w:rsidP="009E0806">
            <w:pPr>
              <w:spacing w:after="0" w:line="240" w:lineRule="auto"/>
              <w:rPr>
                <w:rFonts w:ascii="Calibri" w:eastAsia="Times New Roman" w:hAnsi="Calibri" w:cs="Calibri"/>
                <w:b/>
                <w:bCs/>
                <w:color w:val="000000"/>
                <w:lang w:eastAsia="es-ES"/>
              </w:rPr>
            </w:pPr>
          </w:p>
        </w:tc>
        <w:tc>
          <w:tcPr>
            <w:tcW w:w="1500" w:type="dxa"/>
            <w:tcBorders>
              <w:top w:val="nil"/>
              <w:left w:val="nil"/>
              <w:bottom w:val="nil"/>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2015</w:t>
            </w:r>
          </w:p>
        </w:tc>
        <w:tc>
          <w:tcPr>
            <w:tcW w:w="1500" w:type="dxa"/>
            <w:tcBorders>
              <w:top w:val="nil"/>
              <w:left w:val="nil"/>
              <w:bottom w:val="nil"/>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2016</w:t>
            </w:r>
          </w:p>
        </w:tc>
        <w:tc>
          <w:tcPr>
            <w:tcW w:w="1320" w:type="dxa"/>
            <w:tcBorders>
              <w:top w:val="nil"/>
              <w:left w:val="nil"/>
              <w:bottom w:val="nil"/>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2009-2015</w:t>
            </w:r>
          </w:p>
        </w:tc>
        <w:tc>
          <w:tcPr>
            <w:tcW w:w="1320" w:type="dxa"/>
            <w:tcBorders>
              <w:top w:val="nil"/>
              <w:left w:val="nil"/>
              <w:bottom w:val="nil"/>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2015-2025</w:t>
            </w:r>
          </w:p>
        </w:tc>
        <w:tc>
          <w:tcPr>
            <w:tcW w:w="1320" w:type="dxa"/>
            <w:tcBorders>
              <w:top w:val="nil"/>
              <w:left w:val="nil"/>
              <w:bottom w:val="nil"/>
              <w:right w:val="single" w:sz="12"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b/>
                <w:bCs/>
                <w:color w:val="000000"/>
                <w:lang w:eastAsia="es-ES"/>
              </w:rPr>
            </w:pPr>
            <w:r w:rsidRPr="009E0806">
              <w:rPr>
                <w:rFonts w:ascii="Calibri" w:eastAsia="Times New Roman" w:hAnsi="Calibri" w:cs="Calibri"/>
                <w:b/>
                <w:bCs/>
                <w:color w:val="000000"/>
                <w:lang w:eastAsia="es-ES"/>
              </w:rPr>
              <w:t>2025-2035</w:t>
            </w:r>
          </w:p>
        </w:tc>
      </w:tr>
      <w:tr w:rsidR="009E0806" w:rsidRPr="009E0806" w:rsidTr="009E0806">
        <w:trPr>
          <w:trHeight w:val="315"/>
        </w:trPr>
        <w:tc>
          <w:tcPr>
            <w:tcW w:w="2080"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Residencial</w:t>
            </w:r>
          </w:p>
        </w:tc>
        <w:tc>
          <w:tcPr>
            <w:tcW w:w="1500" w:type="dxa"/>
            <w:tcBorders>
              <w:top w:val="single" w:sz="8" w:space="0" w:color="auto"/>
              <w:left w:val="nil"/>
              <w:bottom w:val="single" w:sz="8"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131,3</w:t>
            </w:r>
          </w:p>
        </w:tc>
        <w:tc>
          <w:tcPr>
            <w:tcW w:w="1500" w:type="dxa"/>
            <w:tcBorders>
              <w:top w:val="single" w:sz="8" w:space="0" w:color="auto"/>
              <w:left w:val="nil"/>
              <w:bottom w:val="single" w:sz="8"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137,7</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2.4%</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w:t>
            </w:r>
          </w:p>
        </w:tc>
        <w:tc>
          <w:tcPr>
            <w:tcW w:w="1320" w:type="dxa"/>
            <w:tcBorders>
              <w:top w:val="single" w:sz="8" w:space="0" w:color="auto"/>
              <w:left w:val="nil"/>
              <w:bottom w:val="single" w:sz="8" w:space="0" w:color="auto"/>
              <w:right w:val="single" w:sz="12" w:space="0" w:color="auto"/>
            </w:tcBorders>
            <w:shd w:val="clear" w:color="auto" w:fill="auto"/>
            <w:noWrap/>
            <w:vAlign w:val="bottom"/>
            <w:hideMark/>
          </w:tcPr>
          <w:p w:rsidR="009E0806" w:rsidRPr="009E0806" w:rsidRDefault="009E0806" w:rsidP="00AD2AB3">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w:t>
            </w:r>
            <w:r w:rsidR="00AD2AB3">
              <w:rPr>
                <w:rFonts w:ascii="Calibri" w:eastAsia="Times New Roman" w:hAnsi="Calibri" w:cs="Calibri"/>
                <w:color w:val="000000"/>
                <w:lang w:eastAsia="es-ES"/>
              </w:rPr>
              <w:t>6</w:t>
            </w:r>
            <w:r w:rsidRPr="009E0806">
              <w:rPr>
                <w:rFonts w:ascii="Calibri" w:eastAsia="Times New Roman" w:hAnsi="Calibri" w:cs="Calibri"/>
                <w:color w:val="000000"/>
                <w:lang w:eastAsia="es-ES"/>
              </w:rPr>
              <w:t>%</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Comercial</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37,3</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38,2</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4.5%</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2.9%</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1.9%</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Industrial</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263,4</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267,3</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1.4%</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AD2AB3" w:rsidP="009E080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3.0</w:t>
            </w:r>
            <w:r w:rsidR="009E0806" w:rsidRPr="009E0806">
              <w:rPr>
                <w:rFonts w:ascii="Calibri" w:eastAsia="Times New Roman" w:hAnsi="Calibri" w:cs="Calibri"/>
                <w:color w:val="000000"/>
                <w:lang w:eastAsia="es-ES"/>
              </w:rPr>
              <w:t>%</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1.4%</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Petroquímico</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17,4</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16,9</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-2.4%</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1.4%</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0%</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Transporte (GNVC)</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87,4</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73,2</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0.6%</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3.4%</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2.4%</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Petrolero</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135,3</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181,0</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8.4%</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AD2AB3" w:rsidP="009E080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13.2</w:t>
            </w:r>
            <w:r w:rsidR="009E0806" w:rsidRPr="009E0806">
              <w:rPr>
                <w:rFonts w:ascii="Calibri" w:eastAsia="Times New Roman" w:hAnsi="Calibri" w:cs="Calibri"/>
                <w:color w:val="000000"/>
                <w:lang w:eastAsia="es-ES"/>
              </w:rPr>
              <w:t>%</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2.1%</w:t>
            </w:r>
          </w:p>
        </w:tc>
      </w:tr>
      <w:tr w:rsidR="009E0806" w:rsidRPr="009E0806" w:rsidTr="009E0806">
        <w:trPr>
          <w:trHeight w:val="300"/>
        </w:trPr>
        <w:tc>
          <w:tcPr>
            <w:tcW w:w="2080" w:type="dxa"/>
            <w:tcBorders>
              <w:top w:val="nil"/>
              <w:left w:val="single" w:sz="12" w:space="0" w:color="auto"/>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Eléctrico</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324,9</w:t>
            </w:r>
          </w:p>
        </w:tc>
        <w:tc>
          <w:tcPr>
            <w:tcW w:w="1500" w:type="dxa"/>
            <w:tcBorders>
              <w:top w:val="nil"/>
              <w:left w:val="nil"/>
              <w:bottom w:val="single" w:sz="4" w:space="0" w:color="auto"/>
              <w:right w:val="single" w:sz="4" w:space="0" w:color="auto"/>
            </w:tcBorders>
            <w:shd w:val="clear" w:color="auto" w:fill="auto"/>
            <w:noWrap/>
            <w:vAlign w:val="center"/>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262,4</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3.7%</w:t>
            </w:r>
          </w:p>
        </w:tc>
        <w:tc>
          <w:tcPr>
            <w:tcW w:w="1320" w:type="dxa"/>
            <w:tcBorders>
              <w:top w:val="nil"/>
              <w:left w:val="nil"/>
              <w:bottom w:val="single" w:sz="4" w:space="0" w:color="auto"/>
              <w:right w:val="single" w:sz="4" w:space="0" w:color="auto"/>
            </w:tcBorders>
            <w:shd w:val="clear" w:color="auto" w:fill="auto"/>
            <w:noWrap/>
            <w:vAlign w:val="bottom"/>
            <w:hideMark/>
          </w:tcPr>
          <w:p w:rsidR="009E0806" w:rsidRPr="009E0806" w:rsidRDefault="00AD2AB3" w:rsidP="009E080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-6.8</w:t>
            </w:r>
            <w:r w:rsidR="009E0806" w:rsidRPr="009E0806">
              <w:rPr>
                <w:rFonts w:ascii="Calibri" w:eastAsia="Times New Roman" w:hAnsi="Calibri" w:cs="Calibri"/>
                <w:color w:val="000000"/>
                <w:lang w:eastAsia="es-ES"/>
              </w:rPr>
              <w:t>%</w:t>
            </w:r>
          </w:p>
        </w:tc>
        <w:tc>
          <w:tcPr>
            <w:tcW w:w="1320" w:type="dxa"/>
            <w:tcBorders>
              <w:top w:val="nil"/>
              <w:left w:val="nil"/>
              <w:bottom w:val="single" w:sz="4" w:space="0" w:color="auto"/>
              <w:right w:val="single" w:sz="12" w:space="0" w:color="auto"/>
            </w:tcBorders>
            <w:shd w:val="clear" w:color="auto" w:fill="auto"/>
            <w:noWrap/>
            <w:vAlign w:val="bottom"/>
            <w:hideMark/>
          </w:tcPr>
          <w:p w:rsidR="009E0806" w:rsidRPr="009E0806" w:rsidRDefault="00AD2AB3" w:rsidP="009E0806">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w:t>
            </w:r>
            <w:r w:rsidR="009E0806" w:rsidRPr="009E0806">
              <w:rPr>
                <w:rFonts w:ascii="Calibri" w:eastAsia="Times New Roman" w:hAnsi="Calibri" w:cs="Calibri"/>
                <w:color w:val="000000"/>
                <w:lang w:eastAsia="es-ES"/>
              </w:rPr>
              <w:t>%</w:t>
            </w:r>
          </w:p>
        </w:tc>
      </w:tr>
      <w:tr w:rsidR="009E0806" w:rsidRPr="009E0806" w:rsidTr="009E0806">
        <w:trPr>
          <w:trHeight w:val="315"/>
        </w:trPr>
        <w:tc>
          <w:tcPr>
            <w:tcW w:w="2080" w:type="dxa"/>
            <w:tcBorders>
              <w:top w:val="nil"/>
              <w:left w:val="single" w:sz="12" w:space="0" w:color="auto"/>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Eléctrico ENSO</w:t>
            </w:r>
          </w:p>
        </w:tc>
        <w:tc>
          <w:tcPr>
            <w:tcW w:w="1500" w:type="dxa"/>
            <w:tcBorders>
              <w:top w:val="nil"/>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p>
        </w:tc>
        <w:tc>
          <w:tcPr>
            <w:tcW w:w="1500" w:type="dxa"/>
            <w:tcBorders>
              <w:top w:val="nil"/>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p>
        </w:tc>
        <w:tc>
          <w:tcPr>
            <w:tcW w:w="1320" w:type="dxa"/>
            <w:tcBorders>
              <w:top w:val="nil"/>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320" w:type="dxa"/>
            <w:tcBorders>
              <w:top w:val="nil"/>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-6.8%</w:t>
            </w:r>
          </w:p>
        </w:tc>
        <w:tc>
          <w:tcPr>
            <w:tcW w:w="1320" w:type="dxa"/>
            <w:tcBorders>
              <w:top w:val="nil"/>
              <w:left w:val="nil"/>
              <w:bottom w:val="single" w:sz="12"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3.2%</w:t>
            </w:r>
          </w:p>
        </w:tc>
      </w:tr>
      <w:tr w:rsidR="009E0806" w:rsidRPr="009E0806" w:rsidTr="009E0806">
        <w:trPr>
          <w:trHeight w:val="315"/>
        </w:trPr>
        <w:tc>
          <w:tcPr>
            <w:tcW w:w="2080"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Compresores</w:t>
            </w:r>
          </w:p>
        </w:tc>
        <w:tc>
          <w:tcPr>
            <w:tcW w:w="1500" w:type="dxa"/>
            <w:tcBorders>
              <w:top w:val="single" w:sz="12"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500" w:type="dxa"/>
            <w:tcBorders>
              <w:top w:val="single" w:sz="12"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320" w:type="dxa"/>
            <w:tcBorders>
              <w:top w:val="single" w:sz="12"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1.5%</w:t>
            </w:r>
          </w:p>
        </w:tc>
        <w:tc>
          <w:tcPr>
            <w:tcW w:w="1320" w:type="dxa"/>
            <w:tcBorders>
              <w:top w:val="single" w:sz="12"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2-0%</w:t>
            </w:r>
          </w:p>
        </w:tc>
        <w:tc>
          <w:tcPr>
            <w:tcW w:w="1320" w:type="dxa"/>
            <w:tcBorders>
              <w:top w:val="single" w:sz="12" w:space="0" w:color="auto"/>
              <w:left w:val="nil"/>
              <w:bottom w:val="single" w:sz="8"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1.9%</w:t>
            </w:r>
          </w:p>
        </w:tc>
      </w:tr>
      <w:tr w:rsidR="009E0806" w:rsidRPr="009E0806" w:rsidTr="009E0806">
        <w:trPr>
          <w:trHeight w:val="315"/>
        </w:trPr>
        <w:tc>
          <w:tcPr>
            <w:tcW w:w="2080"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Total Demanda</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3.1%</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1.6%</w:t>
            </w:r>
          </w:p>
        </w:tc>
        <w:tc>
          <w:tcPr>
            <w:tcW w:w="1320" w:type="dxa"/>
            <w:tcBorders>
              <w:top w:val="single" w:sz="8" w:space="0" w:color="auto"/>
              <w:left w:val="nil"/>
              <w:bottom w:val="single" w:sz="8"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1.9%</w:t>
            </w:r>
          </w:p>
        </w:tc>
      </w:tr>
      <w:tr w:rsidR="009E0806" w:rsidRPr="009E0806" w:rsidTr="009E0806">
        <w:trPr>
          <w:trHeight w:val="315"/>
        </w:trPr>
        <w:tc>
          <w:tcPr>
            <w:tcW w:w="2080" w:type="dxa"/>
            <w:tcBorders>
              <w:top w:val="single" w:sz="8" w:space="0" w:color="auto"/>
              <w:left w:val="single" w:sz="12" w:space="0" w:color="auto"/>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Total Demanda ENSO</w:t>
            </w:r>
          </w:p>
        </w:tc>
        <w:tc>
          <w:tcPr>
            <w:tcW w:w="1500" w:type="dxa"/>
            <w:tcBorders>
              <w:top w:val="single" w:sz="8" w:space="0" w:color="auto"/>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500" w:type="dxa"/>
            <w:tcBorders>
              <w:top w:val="single" w:sz="8" w:space="0" w:color="auto"/>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320" w:type="dxa"/>
            <w:tcBorders>
              <w:top w:val="single" w:sz="8" w:space="0" w:color="auto"/>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 </w:t>
            </w:r>
          </w:p>
        </w:tc>
        <w:tc>
          <w:tcPr>
            <w:tcW w:w="1320" w:type="dxa"/>
            <w:tcBorders>
              <w:top w:val="single" w:sz="8" w:space="0" w:color="auto"/>
              <w:left w:val="nil"/>
              <w:bottom w:val="single" w:sz="12" w:space="0" w:color="auto"/>
              <w:right w:val="single" w:sz="4"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2.1%</w:t>
            </w:r>
          </w:p>
        </w:tc>
        <w:tc>
          <w:tcPr>
            <w:tcW w:w="1320" w:type="dxa"/>
            <w:tcBorders>
              <w:top w:val="single" w:sz="8" w:space="0" w:color="auto"/>
              <w:left w:val="nil"/>
              <w:bottom w:val="single" w:sz="12" w:space="0" w:color="auto"/>
              <w:right w:val="single" w:sz="12" w:space="0" w:color="auto"/>
            </w:tcBorders>
            <w:shd w:val="clear" w:color="auto" w:fill="auto"/>
            <w:noWrap/>
            <w:vAlign w:val="bottom"/>
            <w:hideMark/>
          </w:tcPr>
          <w:p w:rsidR="009E0806" w:rsidRPr="009E0806" w:rsidRDefault="009E0806" w:rsidP="009E0806">
            <w:pPr>
              <w:spacing w:after="0" w:line="240" w:lineRule="auto"/>
              <w:jc w:val="center"/>
              <w:rPr>
                <w:rFonts w:ascii="Calibri" w:eastAsia="Times New Roman" w:hAnsi="Calibri" w:cs="Calibri"/>
                <w:color w:val="000000"/>
                <w:lang w:eastAsia="es-ES"/>
              </w:rPr>
            </w:pPr>
            <w:r w:rsidRPr="009E0806">
              <w:rPr>
                <w:rFonts w:ascii="Calibri" w:eastAsia="Times New Roman" w:hAnsi="Calibri" w:cs="Calibri"/>
                <w:color w:val="000000"/>
                <w:lang w:eastAsia="es-ES"/>
              </w:rPr>
              <w:t>2.1%</w:t>
            </w:r>
          </w:p>
        </w:tc>
      </w:tr>
    </w:tbl>
    <w:p w:rsidR="000911D9" w:rsidRDefault="000911D9" w:rsidP="009E0806">
      <w:pPr>
        <w:jc w:val="center"/>
        <w:rPr>
          <w:sz w:val="18"/>
          <w:szCs w:val="18"/>
        </w:rPr>
      </w:pPr>
      <w:r w:rsidRPr="000911D9">
        <w:rPr>
          <w:sz w:val="18"/>
          <w:szCs w:val="18"/>
        </w:rPr>
        <w:t>Fuente: UPME – Concentra</w:t>
      </w:r>
      <w:r w:rsidR="004F6712">
        <w:rPr>
          <w:sz w:val="18"/>
          <w:szCs w:val="18"/>
        </w:rPr>
        <w:t xml:space="preserve">; </w:t>
      </w:r>
      <w:r w:rsidR="000011E9">
        <w:rPr>
          <w:sz w:val="18"/>
          <w:szCs w:val="18"/>
        </w:rPr>
        <w:t>elaboración propia</w:t>
      </w:r>
    </w:p>
    <w:p w:rsidR="00B21DC4" w:rsidRDefault="00B21DC4" w:rsidP="00B21DC4">
      <w:pPr>
        <w:jc w:val="both"/>
      </w:pPr>
      <w:r>
        <w:lastRenderedPageBreak/>
        <w:t xml:space="preserve">De acuerdo con dichas proyecciones de crecimiento, la UPME calcula el siguiente balance de gas: </w:t>
      </w:r>
    </w:p>
    <w:p w:rsidR="00B21DC4" w:rsidRDefault="00B21DC4" w:rsidP="00B21DC4">
      <w:pPr>
        <w:jc w:val="center"/>
      </w:pPr>
      <w:r>
        <w:rPr>
          <w:noProof/>
          <w:lang w:eastAsia="es-ES"/>
        </w:rPr>
        <w:drawing>
          <wp:inline distT="0" distB="0" distL="0" distR="0" wp14:anchorId="2F46EE23" wp14:editId="4F2A8929">
            <wp:extent cx="3914775" cy="2761610"/>
            <wp:effectExtent l="19050" t="19050" r="9525" b="203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1213" cy="2773206"/>
                    </a:xfrm>
                    <a:prstGeom prst="rect">
                      <a:avLst/>
                    </a:prstGeom>
                    <a:ln>
                      <a:solidFill>
                        <a:schemeClr val="accent1"/>
                      </a:solidFill>
                    </a:ln>
                  </pic:spPr>
                </pic:pic>
              </a:graphicData>
            </a:graphic>
          </wp:inline>
        </w:drawing>
      </w:r>
    </w:p>
    <w:p w:rsidR="00B21DC4" w:rsidRDefault="00B21DC4" w:rsidP="00B21DC4">
      <w:pPr>
        <w:jc w:val="both"/>
      </w:pPr>
      <w:r>
        <w:t xml:space="preserve">Como se puede observar, comparando el escenario de demanda alta con el escenario de baja oferta en el cual se incluye la información de la declaración de producción del 2016 más el aporte de la planta de regasificación de Cartagena, se presenta un déficit </w:t>
      </w:r>
      <w:r w:rsidR="00FD7486">
        <w:t xml:space="preserve">marginal </w:t>
      </w:r>
      <w:r>
        <w:t>alrededor del año 2023 correspondiente a la demanda térmica</w:t>
      </w:r>
      <w:r w:rsidRPr="00851D67">
        <w:t xml:space="preserve">. </w:t>
      </w:r>
    </w:p>
    <w:p w:rsidR="005F065A" w:rsidRDefault="00B21DC4" w:rsidP="005F065A">
      <w:pPr>
        <w:jc w:val="both"/>
      </w:pPr>
      <w:r w:rsidRPr="00851D67">
        <w:t>En la siguiente tabla se presenta</w:t>
      </w:r>
      <w:r w:rsidR="00FD7486">
        <w:t>n</w:t>
      </w:r>
      <w:r w:rsidRPr="00851D67">
        <w:t xml:space="preserve"> los déficits al comparar dichos escenarios desde 2023 – hasta 202</w:t>
      </w:r>
      <w:r w:rsidR="00FD7486">
        <w:t xml:space="preserve">4. </w:t>
      </w:r>
      <w:r>
        <w:rPr>
          <w:highlight w:val="yellow"/>
        </w:rPr>
        <w:fldChar w:fldCharType="begin"/>
      </w:r>
      <w:r w:rsidRPr="00B21DC4">
        <w:rPr>
          <w:highlight w:val="yellow"/>
        </w:rPr>
        <w:instrText xml:space="preserve"> LINK </w:instrText>
      </w:r>
      <w:r w:rsidR="00CE0170">
        <w:rPr>
          <w:highlight w:val="yellow"/>
        </w:rPr>
        <w:instrText xml:space="preserve">Excel.Sheet.12 "C:\\Users\\JPORRAS\\Documents\\Cámara\\2017\\Estadisticas\\Gas\\BALANCE ANDI.xlsx" Balances!F2C2:F20C8 </w:instrText>
      </w:r>
      <w:r w:rsidRPr="00B21DC4">
        <w:rPr>
          <w:highlight w:val="yellow"/>
        </w:rPr>
        <w:instrText xml:space="preserve">\a \f 4 \h  \* MERGEFORMAT </w:instrText>
      </w:r>
      <w:r>
        <w:rPr>
          <w:highlight w:val="yellow"/>
        </w:rPr>
        <w:fldChar w:fldCharType="separate"/>
      </w:r>
    </w:p>
    <w:tbl>
      <w:tblPr>
        <w:tblW w:w="9242" w:type="dxa"/>
        <w:tblCellMar>
          <w:left w:w="70" w:type="dxa"/>
          <w:right w:w="70" w:type="dxa"/>
        </w:tblCellMar>
        <w:tblLook w:val="04A0" w:firstRow="1" w:lastRow="0" w:firstColumn="1" w:lastColumn="0" w:noHBand="0" w:noVBand="1"/>
      </w:tblPr>
      <w:tblGrid>
        <w:gridCol w:w="1317"/>
        <w:gridCol w:w="1317"/>
        <w:gridCol w:w="1317"/>
        <w:gridCol w:w="1317"/>
        <w:gridCol w:w="1340"/>
        <w:gridCol w:w="1317"/>
        <w:gridCol w:w="1317"/>
      </w:tblGrid>
      <w:tr w:rsidR="005F065A" w:rsidRPr="005F065A" w:rsidTr="005F065A">
        <w:trPr>
          <w:divId w:val="917977717"/>
          <w:trHeight w:val="510"/>
        </w:trPr>
        <w:tc>
          <w:tcPr>
            <w:tcW w:w="9242" w:type="dxa"/>
            <w:gridSpan w:val="7"/>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lang w:eastAsia="es-ES"/>
              </w:rPr>
            </w:pPr>
            <w:r w:rsidRPr="005F065A">
              <w:rPr>
                <w:rFonts w:ascii="Calibri" w:eastAsia="Times New Roman" w:hAnsi="Calibri" w:cs="Calibri"/>
                <w:b/>
                <w:bCs/>
                <w:color w:val="000000"/>
                <w:lang w:eastAsia="es-ES"/>
              </w:rPr>
              <w:t>Balance Escenario Oferta Bajo - Demanda Alta GBTUD</w:t>
            </w:r>
          </w:p>
        </w:tc>
      </w:tr>
      <w:tr w:rsidR="005F065A" w:rsidRPr="005F065A" w:rsidTr="005F065A">
        <w:trPr>
          <w:divId w:val="917977717"/>
          <w:trHeight w:val="300"/>
        </w:trPr>
        <w:tc>
          <w:tcPr>
            <w:tcW w:w="13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ene-23</w:t>
            </w:r>
          </w:p>
        </w:tc>
        <w:tc>
          <w:tcPr>
            <w:tcW w:w="1317" w:type="dxa"/>
            <w:tcBorders>
              <w:top w:val="nil"/>
              <w:left w:val="single" w:sz="4" w:space="0" w:color="auto"/>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feb-23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mar-23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abr-23</w:t>
            </w:r>
          </w:p>
        </w:tc>
        <w:tc>
          <w:tcPr>
            <w:tcW w:w="1340"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may-23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jun-23</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jul-23</w:t>
            </w:r>
          </w:p>
        </w:tc>
      </w:tr>
      <w:tr w:rsidR="005F065A" w:rsidRPr="005F065A" w:rsidTr="005F065A">
        <w:trPr>
          <w:divId w:val="917977717"/>
          <w:trHeight w:val="300"/>
        </w:trPr>
        <w:tc>
          <w:tcPr>
            <w:tcW w:w="1317" w:type="dxa"/>
            <w:tcBorders>
              <w:top w:val="nil"/>
              <w:left w:val="single" w:sz="4" w:space="0" w:color="auto"/>
              <w:bottom w:val="nil"/>
              <w:right w:val="single" w:sz="4" w:space="0" w:color="auto"/>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65,50   </w:t>
            </w:r>
          </w:p>
        </w:tc>
        <w:tc>
          <w:tcPr>
            <w:tcW w:w="1317" w:type="dxa"/>
            <w:tcBorders>
              <w:top w:val="nil"/>
              <w:left w:val="single" w:sz="4" w:space="0" w:color="auto"/>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FF0000"/>
                <w:lang w:eastAsia="es-ES"/>
              </w:rPr>
              <w:t>-</w:t>
            </w:r>
            <w:r w:rsidRPr="005F065A">
              <w:rPr>
                <w:rFonts w:ascii="Calibri" w:eastAsia="Times New Roman" w:hAnsi="Calibri" w:cs="Calibri"/>
                <w:color w:val="000000"/>
                <w:lang w:eastAsia="es-ES"/>
              </w:rPr>
              <w:t xml:space="preserve">           </w:t>
            </w:r>
            <w:r w:rsidRPr="00CF1AEB">
              <w:rPr>
                <w:rFonts w:ascii="Calibri" w:eastAsia="Times New Roman" w:hAnsi="Calibri" w:cs="Calibri"/>
                <w:color w:val="FF0000"/>
                <w:lang w:eastAsia="es-ES"/>
              </w:rPr>
              <w:t>74,26</w:t>
            </w:r>
            <w:r w:rsidRPr="005F065A">
              <w:rPr>
                <w:rFonts w:ascii="Calibri" w:eastAsia="Times New Roman" w:hAnsi="Calibri" w:cs="Calibri"/>
                <w:color w:val="000000"/>
                <w:lang w:eastAsia="es-ES"/>
              </w:rPr>
              <w:t xml:space="preserve">   </w:t>
            </w:r>
          </w:p>
        </w:tc>
        <w:tc>
          <w:tcPr>
            <w:tcW w:w="1317" w:type="dxa"/>
            <w:tcBorders>
              <w:top w:val="nil"/>
              <w:left w:val="nil"/>
              <w:bottom w:val="nil"/>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43,60   </w:t>
            </w:r>
          </w:p>
        </w:tc>
        <w:tc>
          <w:tcPr>
            <w:tcW w:w="1317" w:type="dxa"/>
            <w:tcBorders>
              <w:top w:val="nil"/>
              <w:left w:val="nil"/>
              <w:bottom w:val="nil"/>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22,00   </w:t>
            </w:r>
          </w:p>
        </w:tc>
        <w:tc>
          <w:tcPr>
            <w:tcW w:w="1340"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54,66   </w:t>
            </w:r>
          </w:p>
        </w:tc>
        <w:tc>
          <w:tcPr>
            <w:tcW w:w="1317"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17,67   </w:t>
            </w:r>
          </w:p>
        </w:tc>
        <w:tc>
          <w:tcPr>
            <w:tcW w:w="1317" w:type="dxa"/>
            <w:tcBorders>
              <w:top w:val="nil"/>
              <w:left w:val="nil"/>
              <w:bottom w:val="nil"/>
              <w:right w:val="single" w:sz="4" w:space="0" w:color="auto"/>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30,05   </w:t>
            </w:r>
          </w:p>
        </w:tc>
      </w:tr>
      <w:tr w:rsidR="005F065A" w:rsidRPr="005F065A" w:rsidTr="005F065A">
        <w:trPr>
          <w:divId w:val="917977717"/>
          <w:trHeight w:val="300"/>
        </w:trPr>
        <w:tc>
          <w:tcPr>
            <w:tcW w:w="13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ago-23</w:t>
            </w:r>
          </w:p>
        </w:tc>
        <w:tc>
          <w:tcPr>
            <w:tcW w:w="1317" w:type="dxa"/>
            <w:tcBorders>
              <w:top w:val="nil"/>
              <w:left w:val="single" w:sz="4" w:space="0" w:color="auto"/>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sep-23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oct-23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nov-23</w:t>
            </w:r>
          </w:p>
        </w:tc>
        <w:tc>
          <w:tcPr>
            <w:tcW w:w="1340"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dic-23</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ene-24</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feb-24</w:t>
            </w:r>
          </w:p>
        </w:tc>
      </w:tr>
      <w:tr w:rsidR="00CF1AEB" w:rsidRPr="00CF1AEB" w:rsidTr="005F065A">
        <w:trPr>
          <w:divId w:val="917977717"/>
          <w:trHeight w:val="300"/>
        </w:trPr>
        <w:tc>
          <w:tcPr>
            <w:tcW w:w="1317" w:type="dxa"/>
            <w:tcBorders>
              <w:top w:val="nil"/>
              <w:left w:val="single" w:sz="4" w:space="0" w:color="auto"/>
              <w:bottom w:val="nil"/>
              <w:right w:val="single" w:sz="4" w:space="0" w:color="auto"/>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35,36   </w:t>
            </w:r>
          </w:p>
        </w:tc>
        <w:tc>
          <w:tcPr>
            <w:tcW w:w="1317" w:type="dxa"/>
            <w:tcBorders>
              <w:top w:val="nil"/>
              <w:left w:val="single" w:sz="4" w:space="0" w:color="auto"/>
              <w:bottom w:val="nil"/>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68,69   </w:t>
            </w:r>
          </w:p>
        </w:tc>
        <w:tc>
          <w:tcPr>
            <w:tcW w:w="1317"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16,46   </w:t>
            </w:r>
          </w:p>
        </w:tc>
        <w:tc>
          <w:tcPr>
            <w:tcW w:w="1317"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FF0000"/>
                <w:lang w:eastAsia="es-ES"/>
              </w:rPr>
              <w:t>-</w:t>
            </w:r>
            <w:r w:rsidRPr="005F065A">
              <w:rPr>
                <w:rFonts w:ascii="Calibri" w:eastAsia="Times New Roman" w:hAnsi="Calibri" w:cs="Calibri"/>
                <w:color w:val="000000"/>
                <w:lang w:eastAsia="es-ES"/>
              </w:rPr>
              <w:t xml:space="preserve">           </w:t>
            </w:r>
            <w:r w:rsidRPr="00CF1AEB">
              <w:rPr>
                <w:rFonts w:ascii="Calibri" w:eastAsia="Times New Roman" w:hAnsi="Calibri" w:cs="Calibri"/>
                <w:color w:val="FF0000"/>
                <w:lang w:eastAsia="es-ES"/>
              </w:rPr>
              <w:t xml:space="preserve">  2,47</w:t>
            </w:r>
            <w:r w:rsidRPr="005F065A">
              <w:rPr>
                <w:rFonts w:ascii="Calibri" w:eastAsia="Times New Roman" w:hAnsi="Calibri" w:cs="Calibri"/>
                <w:color w:val="000000"/>
                <w:lang w:eastAsia="es-ES"/>
              </w:rPr>
              <w:t xml:space="preserve">   </w:t>
            </w:r>
          </w:p>
        </w:tc>
        <w:tc>
          <w:tcPr>
            <w:tcW w:w="1340"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4,32   </w:t>
            </w:r>
          </w:p>
        </w:tc>
        <w:tc>
          <w:tcPr>
            <w:tcW w:w="1317" w:type="dxa"/>
            <w:tcBorders>
              <w:top w:val="nil"/>
              <w:left w:val="nil"/>
              <w:bottom w:val="nil"/>
              <w:right w:val="nil"/>
            </w:tcBorders>
            <w:shd w:val="clear" w:color="auto" w:fill="FFFFFF" w:themeFill="background1"/>
            <w:noWrap/>
            <w:vAlign w:val="bottom"/>
            <w:hideMark/>
          </w:tcPr>
          <w:p w:rsidR="005F065A" w:rsidRPr="005F065A" w:rsidRDefault="005F065A" w:rsidP="005F065A">
            <w:pPr>
              <w:spacing w:after="0" w:line="240" w:lineRule="auto"/>
              <w:jc w:val="center"/>
              <w:rPr>
                <w:rFonts w:ascii="Calibri" w:eastAsia="Times New Roman" w:hAnsi="Calibri" w:cs="Calibri"/>
                <w:color w:val="000000"/>
                <w:lang w:eastAsia="es-ES"/>
              </w:rPr>
            </w:pPr>
            <w:r w:rsidRPr="005F065A">
              <w:rPr>
                <w:rFonts w:ascii="Calibri" w:eastAsia="Times New Roman" w:hAnsi="Calibri" w:cs="Calibri"/>
                <w:color w:val="000000"/>
                <w:lang w:eastAsia="es-ES"/>
              </w:rPr>
              <w:t xml:space="preserve">            10,51   </w:t>
            </w:r>
          </w:p>
        </w:tc>
        <w:tc>
          <w:tcPr>
            <w:tcW w:w="1317" w:type="dxa"/>
            <w:tcBorders>
              <w:top w:val="nil"/>
              <w:left w:val="nil"/>
              <w:bottom w:val="nil"/>
              <w:right w:val="single" w:sz="4" w:space="0" w:color="auto"/>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69,10   </w:t>
            </w:r>
          </w:p>
        </w:tc>
      </w:tr>
      <w:tr w:rsidR="005F065A" w:rsidRPr="005F065A" w:rsidTr="005F065A">
        <w:trPr>
          <w:divId w:val="917977717"/>
          <w:trHeight w:val="300"/>
        </w:trPr>
        <w:tc>
          <w:tcPr>
            <w:tcW w:w="13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mar-24</w:t>
            </w:r>
          </w:p>
        </w:tc>
        <w:tc>
          <w:tcPr>
            <w:tcW w:w="1317" w:type="dxa"/>
            <w:tcBorders>
              <w:top w:val="nil"/>
              <w:left w:val="single" w:sz="4" w:space="0" w:color="auto"/>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abr-24</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may-24</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jun-24</w:t>
            </w:r>
          </w:p>
        </w:tc>
        <w:tc>
          <w:tcPr>
            <w:tcW w:w="1340"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jul-24</w:t>
            </w:r>
          </w:p>
        </w:tc>
        <w:tc>
          <w:tcPr>
            <w:tcW w:w="1317" w:type="dxa"/>
            <w:tcBorders>
              <w:top w:val="nil"/>
              <w:left w:val="nil"/>
              <w:bottom w:val="single" w:sz="4" w:space="0" w:color="auto"/>
              <w:right w:val="nil"/>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ago-24</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5F065A" w:rsidRPr="005F065A" w:rsidRDefault="005F065A" w:rsidP="005F065A">
            <w:pPr>
              <w:spacing w:after="0" w:line="240" w:lineRule="auto"/>
              <w:jc w:val="center"/>
              <w:rPr>
                <w:rFonts w:ascii="Calibri" w:eastAsia="Times New Roman" w:hAnsi="Calibri" w:cs="Calibri"/>
                <w:b/>
                <w:bCs/>
                <w:color w:val="000000"/>
                <w:sz w:val="18"/>
                <w:szCs w:val="18"/>
                <w:lang w:eastAsia="es-ES"/>
              </w:rPr>
            </w:pPr>
            <w:r w:rsidRPr="005F065A">
              <w:rPr>
                <w:rFonts w:ascii="Calibri" w:eastAsia="Times New Roman" w:hAnsi="Calibri" w:cs="Calibri"/>
                <w:b/>
                <w:bCs/>
                <w:color w:val="000000"/>
                <w:sz w:val="18"/>
                <w:szCs w:val="18"/>
                <w:lang w:eastAsia="es-ES"/>
              </w:rPr>
              <w:t>sep-24</w:t>
            </w:r>
          </w:p>
        </w:tc>
      </w:tr>
      <w:tr w:rsidR="005F065A" w:rsidRPr="005F065A" w:rsidTr="005F065A">
        <w:trPr>
          <w:divId w:val="917977717"/>
          <w:trHeight w:val="300"/>
        </w:trPr>
        <w:tc>
          <w:tcPr>
            <w:tcW w:w="13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b/>
                <w:color w:val="FF0000"/>
                <w:lang w:eastAsia="es-ES"/>
              </w:rPr>
              <w:t>-        111,95</w:t>
            </w:r>
            <w:r w:rsidRPr="00CF1AEB">
              <w:rPr>
                <w:rFonts w:ascii="Calibri" w:eastAsia="Times New Roman" w:hAnsi="Calibri" w:cs="Calibri"/>
                <w:color w:val="FF0000"/>
                <w:lang w:eastAsia="es-ES"/>
              </w:rPr>
              <w:t xml:space="preserve">   </w:t>
            </w:r>
          </w:p>
        </w:tc>
        <w:tc>
          <w:tcPr>
            <w:tcW w:w="1317" w:type="dxa"/>
            <w:tcBorders>
              <w:top w:val="nil"/>
              <w:left w:val="single" w:sz="4" w:space="0" w:color="auto"/>
              <w:bottom w:val="single" w:sz="4" w:space="0" w:color="auto"/>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75,27   </w:t>
            </w:r>
          </w:p>
        </w:tc>
        <w:tc>
          <w:tcPr>
            <w:tcW w:w="1317" w:type="dxa"/>
            <w:tcBorders>
              <w:top w:val="nil"/>
              <w:left w:val="nil"/>
              <w:bottom w:val="single" w:sz="4" w:space="0" w:color="auto"/>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4,02   </w:t>
            </w:r>
          </w:p>
        </w:tc>
        <w:tc>
          <w:tcPr>
            <w:tcW w:w="1317" w:type="dxa"/>
            <w:tcBorders>
              <w:top w:val="nil"/>
              <w:left w:val="nil"/>
              <w:bottom w:val="single" w:sz="4" w:space="0" w:color="auto"/>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49,33   </w:t>
            </w:r>
          </w:p>
        </w:tc>
        <w:tc>
          <w:tcPr>
            <w:tcW w:w="1340" w:type="dxa"/>
            <w:tcBorders>
              <w:top w:val="nil"/>
              <w:left w:val="nil"/>
              <w:bottom w:val="single" w:sz="4" w:space="0" w:color="auto"/>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52,50   </w:t>
            </w:r>
          </w:p>
        </w:tc>
        <w:tc>
          <w:tcPr>
            <w:tcW w:w="1317" w:type="dxa"/>
            <w:tcBorders>
              <w:top w:val="nil"/>
              <w:left w:val="nil"/>
              <w:bottom w:val="single" w:sz="4" w:space="0" w:color="auto"/>
              <w:right w:val="nil"/>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79,71   </w:t>
            </w:r>
          </w:p>
        </w:tc>
        <w:tc>
          <w:tcPr>
            <w:tcW w:w="1317" w:type="dxa"/>
            <w:tcBorders>
              <w:top w:val="nil"/>
              <w:left w:val="nil"/>
              <w:bottom w:val="single" w:sz="4" w:space="0" w:color="auto"/>
              <w:right w:val="single" w:sz="4" w:space="0" w:color="auto"/>
            </w:tcBorders>
            <w:shd w:val="clear" w:color="auto" w:fill="FFFFFF" w:themeFill="background1"/>
            <w:noWrap/>
            <w:vAlign w:val="bottom"/>
            <w:hideMark/>
          </w:tcPr>
          <w:p w:rsidR="005F065A" w:rsidRPr="00CF1AEB" w:rsidRDefault="005F065A" w:rsidP="005F065A">
            <w:pPr>
              <w:spacing w:after="0" w:line="240" w:lineRule="auto"/>
              <w:jc w:val="center"/>
              <w:rPr>
                <w:rFonts w:ascii="Calibri" w:eastAsia="Times New Roman" w:hAnsi="Calibri" w:cs="Calibri"/>
                <w:color w:val="FF0000"/>
                <w:lang w:eastAsia="es-ES"/>
              </w:rPr>
            </w:pPr>
            <w:r w:rsidRPr="00CF1AEB">
              <w:rPr>
                <w:rFonts w:ascii="Calibri" w:eastAsia="Times New Roman" w:hAnsi="Calibri" w:cs="Calibri"/>
                <w:color w:val="FF0000"/>
                <w:lang w:eastAsia="es-ES"/>
              </w:rPr>
              <w:t xml:space="preserve">-        126,61   </w:t>
            </w:r>
          </w:p>
        </w:tc>
      </w:tr>
    </w:tbl>
    <w:p w:rsidR="004F6712" w:rsidRPr="009E0806" w:rsidRDefault="00B21DC4" w:rsidP="004F6712">
      <w:pPr>
        <w:jc w:val="center"/>
        <w:rPr>
          <w:sz w:val="18"/>
          <w:szCs w:val="18"/>
        </w:rPr>
      </w:pPr>
      <w:r>
        <w:fldChar w:fldCharType="end"/>
      </w:r>
      <w:r w:rsidRPr="009E0806">
        <w:rPr>
          <w:sz w:val="18"/>
          <w:szCs w:val="18"/>
        </w:rPr>
        <w:t>Fuente: UPME</w:t>
      </w:r>
      <w:r w:rsidR="004F6712">
        <w:rPr>
          <w:sz w:val="18"/>
          <w:szCs w:val="18"/>
        </w:rPr>
        <w:t xml:space="preserve"> – elaboración propia *Cifras en rojo representan la cantidad de gas deficitaria  </w:t>
      </w:r>
    </w:p>
    <w:p w:rsidR="00B21DC4" w:rsidRDefault="00FD7486" w:rsidP="00A67120">
      <w:pPr>
        <w:jc w:val="both"/>
        <w:rPr>
          <w:b/>
        </w:rPr>
      </w:pPr>
      <w:r>
        <w:rPr>
          <w:b/>
        </w:rPr>
        <w:t xml:space="preserve">Conclusión 1: El </w:t>
      </w:r>
      <w:r w:rsidR="00A67120" w:rsidRPr="00A67120">
        <w:rPr>
          <w:b/>
        </w:rPr>
        <w:t xml:space="preserve">máximo déficit </w:t>
      </w:r>
      <w:r>
        <w:rPr>
          <w:b/>
        </w:rPr>
        <w:t xml:space="preserve">se presenta en marzo del 2024 por </w:t>
      </w:r>
      <w:r w:rsidR="00A67120" w:rsidRPr="00A67120">
        <w:rPr>
          <w:b/>
        </w:rPr>
        <w:t>1</w:t>
      </w:r>
      <w:r w:rsidR="00A67120">
        <w:rPr>
          <w:b/>
        </w:rPr>
        <w:t>12</w:t>
      </w:r>
      <w:r w:rsidR="00A67120" w:rsidRPr="00A67120">
        <w:rPr>
          <w:b/>
        </w:rPr>
        <w:t xml:space="preserve"> MPCD.</w:t>
      </w:r>
      <w:r>
        <w:rPr>
          <w:b/>
        </w:rPr>
        <w:t xml:space="preserve"> </w:t>
      </w:r>
    </w:p>
    <w:p w:rsidR="00B21DC4" w:rsidRDefault="00B21DC4" w:rsidP="00B21DC4">
      <w:pPr>
        <w:pStyle w:val="Ttulo3"/>
        <w:numPr>
          <w:ilvl w:val="3"/>
          <w:numId w:val="4"/>
        </w:numPr>
      </w:pPr>
      <w:r>
        <w:t>Respecto a la proyección de crecimiento industrial</w:t>
      </w:r>
    </w:p>
    <w:p w:rsidR="00B21DC4" w:rsidRDefault="00B21DC4" w:rsidP="00BD3ADE">
      <w:pPr>
        <w:jc w:val="both"/>
      </w:pPr>
      <w:r>
        <w:t xml:space="preserve">La UPME proyecta </w:t>
      </w:r>
      <w:r w:rsidR="009833AF" w:rsidRPr="000911D9">
        <w:t xml:space="preserve">un crecimiento </w:t>
      </w:r>
      <w:r w:rsidR="00652286" w:rsidRPr="000911D9">
        <w:t xml:space="preserve">del 3% </w:t>
      </w:r>
      <w:r w:rsidR="009833AF" w:rsidRPr="000911D9">
        <w:t>en la demanda indust</w:t>
      </w:r>
      <w:r w:rsidR="002F52EC" w:rsidRPr="000911D9">
        <w:t xml:space="preserve">rial </w:t>
      </w:r>
      <w:r>
        <w:t xml:space="preserve">de gas natural </w:t>
      </w:r>
      <w:r w:rsidR="002F52EC" w:rsidRPr="000911D9">
        <w:t xml:space="preserve">para el periodo 2015-2025. </w:t>
      </w:r>
      <w:r>
        <w:t>Sin embargo, e</w:t>
      </w:r>
      <w:r w:rsidR="00652286" w:rsidRPr="000911D9">
        <w:t xml:space="preserve">n el periodo 2015 – 2016 la industria presentó un crecimiento </w:t>
      </w:r>
      <w:r>
        <w:t xml:space="preserve">de </w:t>
      </w:r>
      <w:r w:rsidR="00652286" w:rsidRPr="000911D9">
        <w:t>1,52%</w:t>
      </w:r>
      <w:r>
        <w:t xml:space="preserve"> (mitad de proyección de crecimiento), lo cual es consistente con los </w:t>
      </w:r>
      <w:r w:rsidR="004B2A2B" w:rsidRPr="000911D9">
        <w:t>niveles de consumo</w:t>
      </w:r>
      <w:r w:rsidR="00FD7486">
        <w:t xml:space="preserve"> que ha venido presentando la industria en </w:t>
      </w:r>
      <w:r w:rsidR="002F52EC" w:rsidRPr="000911D9">
        <w:t xml:space="preserve">los últimos 9 años. </w:t>
      </w:r>
      <w:r>
        <w:t>Por ejemplo, e</w:t>
      </w:r>
      <w:r w:rsidR="002F52EC" w:rsidRPr="000911D9">
        <w:t xml:space="preserve">n el </w:t>
      </w:r>
      <w:r w:rsidR="00652286" w:rsidRPr="000911D9">
        <w:t>200</w:t>
      </w:r>
      <w:r w:rsidR="004B2A2B" w:rsidRPr="000911D9">
        <w:t xml:space="preserve">8 la industria consumió </w:t>
      </w:r>
      <w:r w:rsidR="00652286" w:rsidRPr="000911D9">
        <w:t xml:space="preserve">269 GBTU </w:t>
      </w:r>
      <w:r w:rsidR="004B2A2B" w:rsidRPr="000911D9">
        <w:t xml:space="preserve">y en el 2016 </w:t>
      </w:r>
      <w:r w:rsidR="00A67120">
        <w:t xml:space="preserve">consumió </w:t>
      </w:r>
      <w:r w:rsidR="00652286" w:rsidRPr="000911D9">
        <w:t>267 GBTUD.</w:t>
      </w:r>
      <w:r w:rsidR="002612F7" w:rsidRPr="000911D9">
        <w:t xml:space="preserve"> </w:t>
      </w:r>
      <w:r w:rsidR="00FD7486">
        <w:t>En la siguiente grafica se presenta dicho comportamiento.</w:t>
      </w:r>
    </w:p>
    <w:p w:rsidR="0082768B" w:rsidRDefault="0082768B" w:rsidP="0082768B">
      <w:pPr>
        <w:jc w:val="center"/>
      </w:pPr>
      <w:r>
        <w:rPr>
          <w:noProof/>
          <w:lang w:eastAsia="es-ES"/>
        </w:rPr>
        <w:lastRenderedPageBreak/>
        <w:drawing>
          <wp:inline distT="0" distB="0" distL="0" distR="0" wp14:anchorId="15D67BFC" wp14:editId="0DC10B23">
            <wp:extent cx="3847841" cy="2086610"/>
            <wp:effectExtent l="19050" t="19050" r="19685" b="279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1869" cy="2088795"/>
                    </a:xfrm>
                    <a:prstGeom prst="rect">
                      <a:avLst/>
                    </a:prstGeom>
                    <a:noFill/>
                    <a:ln>
                      <a:solidFill>
                        <a:schemeClr val="accent1"/>
                      </a:solidFill>
                    </a:ln>
                  </pic:spPr>
                </pic:pic>
              </a:graphicData>
            </a:graphic>
          </wp:inline>
        </w:drawing>
      </w:r>
    </w:p>
    <w:p w:rsidR="0082768B" w:rsidRPr="0082768B" w:rsidRDefault="0082768B" w:rsidP="0082768B">
      <w:pPr>
        <w:jc w:val="center"/>
        <w:rPr>
          <w:sz w:val="18"/>
          <w:szCs w:val="18"/>
        </w:rPr>
      </w:pPr>
      <w:r w:rsidRPr="0082768B">
        <w:rPr>
          <w:sz w:val="18"/>
          <w:szCs w:val="18"/>
        </w:rPr>
        <w:t>Fuente: Concentra – Elaboración propia</w:t>
      </w:r>
    </w:p>
    <w:p w:rsidR="00BD3ADE" w:rsidRPr="00652286" w:rsidRDefault="00B21DC4" w:rsidP="00BD3ADE">
      <w:pPr>
        <w:jc w:val="both"/>
      </w:pPr>
      <w:r>
        <w:t xml:space="preserve">Por lo anterior, la </w:t>
      </w:r>
      <w:r w:rsidR="004B2A2B" w:rsidRPr="000911D9">
        <w:t xml:space="preserve">tasa de crecimiento </w:t>
      </w:r>
      <w:r w:rsidR="002F52EC" w:rsidRPr="000911D9">
        <w:t xml:space="preserve">proyectado </w:t>
      </w:r>
      <w:r>
        <w:t xml:space="preserve">por la UPME </w:t>
      </w:r>
      <w:r w:rsidR="00A67120">
        <w:t xml:space="preserve">para la demanda industrial, </w:t>
      </w:r>
      <w:r w:rsidR="007E4E1F">
        <w:t xml:space="preserve">es muy superior a </w:t>
      </w:r>
      <w:r w:rsidR="009833AF" w:rsidRPr="000911D9">
        <w:t>lo que percibe el sector industrial</w:t>
      </w:r>
      <w:r w:rsidR="004B2A2B" w:rsidRPr="000911D9">
        <w:t xml:space="preserve"> y </w:t>
      </w:r>
      <w:r>
        <w:t xml:space="preserve">los </w:t>
      </w:r>
      <w:r w:rsidR="004B2A2B" w:rsidRPr="000911D9">
        <w:t>distribuidores de gas</w:t>
      </w:r>
      <w:r>
        <w:t xml:space="preserve"> sobre la evolución del mercado en los últimos años</w:t>
      </w:r>
      <w:r w:rsidR="0082768B">
        <w:t xml:space="preserve">. </w:t>
      </w:r>
      <w:r w:rsidR="00BA158A">
        <w:t>Adicionalmente</w:t>
      </w:r>
      <w:r>
        <w:t xml:space="preserve">, </w:t>
      </w:r>
      <w:r w:rsidR="009833AF" w:rsidRPr="000911D9">
        <w:t>considera</w:t>
      </w:r>
      <w:r w:rsidR="00ED0663">
        <w:t xml:space="preserve">ndo </w:t>
      </w:r>
      <w:r>
        <w:t xml:space="preserve">el </w:t>
      </w:r>
      <w:r w:rsidR="009833AF" w:rsidRPr="000911D9">
        <w:t>incremento en precio</w:t>
      </w:r>
      <w:r w:rsidR="007E4E1F">
        <w:t xml:space="preserve"> del gas</w:t>
      </w:r>
      <w:r w:rsidR="00BA158A">
        <w:t xml:space="preserve"> proyectado por la misma UPME</w:t>
      </w:r>
      <w:r w:rsidR="007E4E1F">
        <w:t xml:space="preserve">, </w:t>
      </w:r>
      <w:r w:rsidR="00BA158A">
        <w:t xml:space="preserve">dificulta el incremento </w:t>
      </w:r>
      <w:r w:rsidR="0082768B">
        <w:t>del consumo industrial de gas natural</w:t>
      </w:r>
      <w:r w:rsidR="00ED0663">
        <w:t>.</w:t>
      </w:r>
    </w:p>
    <w:p w:rsidR="005F065A" w:rsidRPr="009833AF" w:rsidRDefault="00624C4F" w:rsidP="00CF1AEB">
      <w:pPr>
        <w:jc w:val="both"/>
      </w:pPr>
      <w:r>
        <w:rPr>
          <w:color w:val="000000" w:themeColor="text1"/>
        </w:rPr>
        <w:t>L</w:t>
      </w:r>
      <w:r w:rsidR="00D13499" w:rsidRPr="00B85BD1">
        <w:rPr>
          <w:color w:val="000000" w:themeColor="text1"/>
        </w:rPr>
        <w:t xml:space="preserve">as siguientes son las </w:t>
      </w:r>
      <w:r w:rsidR="00BD3ADE" w:rsidRPr="00B85BD1">
        <w:rPr>
          <w:color w:val="000000" w:themeColor="text1"/>
        </w:rPr>
        <w:t xml:space="preserve">proyecciones de precio </w:t>
      </w:r>
      <w:r w:rsidR="00D13499" w:rsidRPr="00B85BD1">
        <w:rPr>
          <w:color w:val="000000" w:themeColor="text1"/>
        </w:rPr>
        <w:t xml:space="preserve">del gas natural que presenta la UPME </w:t>
      </w:r>
      <w:r w:rsidR="00BD3ADE" w:rsidRPr="00B85BD1">
        <w:rPr>
          <w:color w:val="000000" w:themeColor="text1"/>
        </w:rPr>
        <w:t>en el Plan de Abastecimiento de Gas Natural</w:t>
      </w:r>
      <w:r w:rsidR="00537D71">
        <w:rPr>
          <w:color w:val="000000" w:themeColor="text1"/>
        </w:rPr>
        <w:t>.</w:t>
      </w:r>
    </w:p>
    <w:tbl>
      <w:tblPr>
        <w:tblStyle w:val="Tablaconcuadrcula"/>
        <w:tblW w:w="8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6812"/>
        <w:gridCol w:w="844"/>
      </w:tblGrid>
      <w:tr w:rsidR="00DB5D1E" w:rsidTr="00D91FBC">
        <w:tc>
          <w:tcPr>
            <w:tcW w:w="846" w:type="dxa"/>
            <w:tcBorders>
              <w:right w:val="single" w:sz="4" w:space="0" w:color="2E74B5" w:themeColor="accent1" w:themeShade="BF"/>
            </w:tcBorders>
          </w:tcPr>
          <w:p w:rsidR="00DB5D1E" w:rsidRDefault="00DB5D1E" w:rsidP="00D91FBC">
            <w:pPr>
              <w:jc w:val="both"/>
            </w:pPr>
          </w:p>
        </w:tc>
        <w:tc>
          <w:tcPr>
            <w:tcW w:w="681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B5D1E" w:rsidRDefault="00DB5D1E" w:rsidP="00D91FBC">
            <w:pPr>
              <w:jc w:val="center"/>
              <w:rPr>
                <w:b/>
                <w:sz w:val="20"/>
              </w:rPr>
            </w:pPr>
            <w:r>
              <w:rPr>
                <w:b/>
                <w:sz w:val="20"/>
              </w:rPr>
              <w:t xml:space="preserve">Proyección de precios de producción nacional de gas </w:t>
            </w:r>
          </w:p>
          <w:p w:rsidR="00DB5D1E" w:rsidRPr="00851D67" w:rsidRDefault="00DB5D1E" w:rsidP="00D91FBC">
            <w:pPr>
              <w:jc w:val="center"/>
              <w:rPr>
                <w:b/>
              </w:rPr>
            </w:pPr>
            <w:r>
              <w:rPr>
                <w:noProof/>
                <w:color w:val="000000" w:themeColor="text1"/>
                <w:lang w:eastAsia="es-ES"/>
              </w:rPr>
              <w:drawing>
                <wp:inline distT="0" distB="0" distL="0" distR="0" wp14:anchorId="2E86E825" wp14:editId="0884ADF5">
                  <wp:extent cx="3767922" cy="22288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199" cy="2243211"/>
                          </a:xfrm>
                          <a:prstGeom prst="rect">
                            <a:avLst/>
                          </a:prstGeom>
                          <a:noFill/>
                        </pic:spPr>
                      </pic:pic>
                    </a:graphicData>
                  </a:graphic>
                </wp:inline>
              </w:drawing>
            </w:r>
          </w:p>
          <w:p w:rsidR="00DB5D1E" w:rsidRDefault="001E56CA" w:rsidP="001E56CA">
            <w:pPr>
              <w:ind w:left="708"/>
            </w:pPr>
            <w:r>
              <w:rPr>
                <w:b/>
                <w:sz w:val="18"/>
                <w:szCs w:val="18"/>
              </w:rPr>
              <w:t xml:space="preserve">                                               </w:t>
            </w:r>
            <w:r w:rsidR="00DB5D1E" w:rsidRPr="00851D67">
              <w:rPr>
                <w:b/>
                <w:sz w:val="18"/>
                <w:szCs w:val="18"/>
              </w:rPr>
              <w:t>Fuente:</w:t>
            </w:r>
            <w:r w:rsidR="00DB5D1E" w:rsidRPr="00851D67">
              <w:rPr>
                <w:sz w:val="18"/>
                <w:szCs w:val="18"/>
              </w:rPr>
              <w:t xml:space="preserve"> UPME</w:t>
            </w:r>
          </w:p>
          <w:p w:rsidR="00DB5D1E" w:rsidRDefault="00DB5D1E" w:rsidP="00D91FBC">
            <w:pPr>
              <w:jc w:val="both"/>
            </w:pPr>
          </w:p>
        </w:tc>
        <w:tc>
          <w:tcPr>
            <w:tcW w:w="844" w:type="dxa"/>
            <w:tcBorders>
              <w:left w:val="single" w:sz="4" w:space="0" w:color="2E74B5" w:themeColor="accent1" w:themeShade="BF"/>
            </w:tcBorders>
          </w:tcPr>
          <w:p w:rsidR="00DB5D1E" w:rsidRDefault="00DB5D1E" w:rsidP="00D91FBC">
            <w:pPr>
              <w:jc w:val="both"/>
            </w:pPr>
          </w:p>
        </w:tc>
      </w:tr>
    </w:tbl>
    <w:p w:rsidR="0006460E" w:rsidRPr="009833AF" w:rsidRDefault="0006460E" w:rsidP="009E0806">
      <w:pPr>
        <w:jc w:val="center"/>
      </w:pPr>
    </w:p>
    <w:p w:rsidR="00DB5D1E" w:rsidRPr="00843787" w:rsidRDefault="00DB5D1E" w:rsidP="00DB5D1E">
      <w:pPr>
        <w:jc w:val="both"/>
        <w:rPr>
          <w:color w:val="000000" w:themeColor="text1"/>
        </w:rPr>
      </w:pPr>
      <w:r>
        <w:t>Como se puede ap</w:t>
      </w:r>
      <w:r w:rsidR="001E56CA">
        <w:t xml:space="preserve">reciar en la gráfica anterior, </w:t>
      </w:r>
      <w:r>
        <w:t xml:space="preserve">el </w:t>
      </w:r>
      <w:r w:rsidRPr="00843787">
        <w:rPr>
          <w:color w:val="000000" w:themeColor="text1"/>
        </w:rPr>
        <w:t>incremento en los precio</w:t>
      </w:r>
      <w:r w:rsidR="00F61502">
        <w:rPr>
          <w:color w:val="000000" w:themeColor="text1"/>
        </w:rPr>
        <w:t>s</w:t>
      </w:r>
      <w:r w:rsidRPr="00843787">
        <w:rPr>
          <w:color w:val="000000" w:themeColor="text1"/>
        </w:rPr>
        <w:t xml:space="preserve"> puede ser hasta del 100% para el año 2025</w:t>
      </w:r>
      <w:r w:rsidR="00F61502">
        <w:rPr>
          <w:color w:val="000000" w:themeColor="text1"/>
        </w:rPr>
        <w:t xml:space="preserve"> o </w:t>
      </w:r>
      <w:r>
        <w:rPr>
          <w:color w:val="000000" w:themeColor="text1"/>
        </w:rPr>
        <w:t>valores cercanos como es el caso de la guajira entre el primer trimestre del 2020 y último trimestre del 2023 que incrementa en un 80%</w:t>
      </w:r>
      <w:r w:rsidR="001E56CA">
        <w:rPr>
          <w:color w:val="000000" w:themeColor="text1"/>
        </w:rPr>
        <w:t>. Lo anterior</w:t>
      </w:r>
      <w:r w:rsidRPr="00843787">
        <w:rPr>
          <w:color w:val="000000" w:themeColor="text1"/>
        </w:rPr>
        <w:t>, al considerar los cálculos de elasticidad precio demanda –EPD–</w:t>
      </w:r>
      <w:r w:rsidRPr="00843787">
        <w:rPr>
          <w:rStyle w:val="Refdenotaalpie"/>
          <w:color w:val="000000" w:themeColor="text1"/>
        </w:rPr>
        <w:footnoteReference w:id="1"/>
      </w:r>
      <w:r w:rsidRPr="00843787">
        <w:rPr>
          <w:color w:val="000000" w:themeColor="text1"/>
        </w:rPr>
        <w:t xml:space="preserve"> elaborados por la UPME</w:t>
      </w:r>
      <w:r w:rsidR="001E56CA">
        <w:rPr>
          <w:color w:val="000000" w:themeColor="text1"/>
        </w:rPr>
        <w:t xml:space="preserve"> para la demanda no regulada</w:t>
      </w:r>
      <w:r w:rsidR="00F61502">
        <w:rPr>
          <w:color w:val="000000" w:themeColor="text1"/>
        </w:rPr>
        <w:t xml:space="preserve">, conservados todas las demás variables constantes, </w:t>
      </w:r>
      <w:r w:rsidRPr="00843787">
        <w:rPr>
          <w:color w:val="000000" w:themeColor="text1"/>
        </w:rPr>
        <w:t>la demanda industrial podría presentar reducciones hasta del 22%</w:t>
      </w:r>
      <w:r w:rsidR="00F61502">
        <w:rPr>
          <w:color w:val="000000" w:themeColor="text1"/>
        </w:rPr>
        <w:t xml:space="preserve"> en su consumo</w:t>
      </w:r>
      <w:r w:rsidRPr="00843787">
        <w:rPr>
          <w:color w:val="000000" w:themeColor="text1"/>
        </w:rPr>
        <w:t xml:space="preserve"> por los incrementos en el precio del gas. </w:t>
      </w:r>
    </w:p>
    <w:p w:rsidR="00B85BD1" w:rsidRDefault="00606E86" w:rsidP="00606E86">
      <w:pPr>
        <w:jc w:val="both"/>
      </w:pPr>
      <w:r w:rsidRPr="00843787">
        <w:rPr>
          <w:color w:val="000000" w:themeColor="text1"/>
        </w:rPr>
        <w:lastRenderedPageBreak/>
        <w:t>L</w:t>
      </w:r>
      <w:r w:rsidR="00D43A15" w:rsidRPr="00843787">
        <w:rPr>
          <w:color w:val="000000" w:themeColor="text1"/>
        </w:rPr>
        <w:t>a demanda industrial del interior ser</w:t>
      </w:r>
      <w:r w:rsidR="00B85BD1" w:rsidRPr="00843787">
        <w:rPr>
          <w:color w:val="000000" w:themeColor="text1"/>
        </w:rPr>
        <w:t xml:space="preserve">ía </w:t>
      </w:r>
      <w:r w:rsidR="00D43A15" w:rsidRPr="00843787">
        <w:rPr>
          <w:color w:val="000000" w:themeColor="text1"/>
        </w:rPr>
        <w:t xml:space="preserve">la </w:t>
      </w:r>
      <w:r w:rsidR="004805B2" w:rsidRPr="00843787">
        <w:rPr>
          <w:color w:val="000000" w:themeColor="text1"/>
        </w:rPr>
        <w:t>que experimentar</w:t>
      </w:r>
      <w:r w:rsidR="00B85BD1" w:rsidRPr="00843787">
        <w:rPr>
          <w:color w:val="000000" w:themeColor="text1"/>
        </w:rPr>
        <w:t>ía</w:t>
      </w:r>
      <w:r w:rsidR="004805B2" w:rsidRPr="00843787">
        <w:rPr>
          <w:color w:val="000000" w:themeColor="text1"/>
        </w:rPr>
        <w:t xml:space="preserve"> una mayor caída</w:t>
      </w:r>
      <w:r w:rsidR="00D13499" w:rsidRPr="00843787">
        <w:rPr>
          <w:color w:val="000000" w:themeColor="text1"/>
        </w:rPr>
        <w:t xml:space="preserve"> </w:t>
      </w:r>
      <w:r w:rsidR="004805B2" w:rsidRPr="00843787">
        <w:rPr>
          <w:color w:val="000000" w:themeColor="text1"/>
        </w:rPr>
        <w:t xml:space="preserve">para el 2024 </w:t>
      </w:r>
      <w:r w:rsidR="00B85BD1" w:rsidRPr="00843787">
        <w:rPr>
          <w:color w:val="000000" w:themeColor="text1"/>
        </w:rPr>
        <w:t xml:space="preserve">en </w:t>
      </w:r>
      <w:r w:rsidR="004805B2" w:rsidRPr="00843787">
        <w:rPr>
          <w:color w:val="000000" w:themeColor="text1"/>
        </w:rPr>
        <w:t xml:space="preserve">un 24% </w:t>
      </w:r>
      <w:r w:rsidRPr="00843787">
        <w:rPr>
          <w:color w:val="000000" w:themeColor="text1"/>
        </w:rPr>
        <w:t xml:space="preserve">en relación al consumo del 2016. </w:t>
      </w:r>
      <w:r w:rsidR="00B85BD1" w:rsidRPr="00843787">
        <w:rPr>
          <w:color w:val="000000" w:themeColor="text1"/>
        </w:rPr>
        <w:t xml:space="preserve">Mientras que </w:t>
      </w:r>
      <w:r w:rsidRPr="00843787">
        <w:rPr>
          <w:color w:val="000000" w:themeColor="text1"/>
        </w:rPr>
        <w:t>con</w:t>
      </w:r>
      <w:r w:rsidR="004805B2" w:rsidRPr="00843787">
        <w:rPr>
          <w:color w:val="000000" w:themeColor="text1"/>
        </w:rPr>
        <w:t xml:space="preserve"> la declinación pronunciada del campo Ballenas, </w:t>
      </w:r>
      <w:r w:rsidR="00ED7147" w:rsidRPr="00843787">
        <w:rPr>
          <w:color w:val="000000" w:themeColor="text1"/>
        </w:rPr>
        <w:t>a partir</w:t>
      </w:r>
      <w:r w:rsidR="004805B2" w:rsidRPr="00843787">
        <w:rPr>
          <w:color w:val="000000" w:themeColor="text1"/>
        </w:rPr>
        <w:t xml:space="preserve"> el 2021 la demanda industrial de la costa experimentará caídas hasta del 18% </w:t>
      </w:r>
      <w:r w:rsidRPr="00843787">
        <w:rPr>
          <w:color w:val="000000" w:themeColor="text1"/>
        </w:rPr>
        <w:t xml:space="preserve">en su </w:t>
      </w:r>
      <w:r>
        <w:t>consumo</w:t>
      </w:r>
      <w:r w:rsidR="00B85BD1">
        <w:t>.</w:t>
      </w:r>
    </w:p>
    <w:p w:rsidR="00D13499" w:rsidRPr="00BA158A" w:rsidRDefault="00BA158A" w:rsidP="00606E86">
      <w:pPr>
        <w:jc w:val="both"/>
        <w:rPr>
          <w:b/>
        </w:rPr>
      </w:pPr>
      <w:r w:rsidRPr="00BA158A">
        <w:rPr>
          <w:b/>
        </w:rPr>
        <w:t xml:space="preserve">Conclusión 2: Considerando </w:t>
      </w:r>
      <w:r w:rsidR="00B85BD1" w:rsidRPr="00BA158A">
        <w:rPr>
          <w:b/>
        </w:rPr>
        <w:t xml:space="preserve">el escenario de incremento </w:t>
      </w:r>
      <w:r w:rsidRPr="00BA158A">
        <w:rPr>
          <w:b/>
        </w:rPr>
        <w:t xml:space="preserve">de </w:t>
      </w:r>
      <w:r w:rsidR="00B85BD1" w:rsidRPr="00BA158A">
        <w:rPr>
          <w:b/>
        </w:rPr>
        <w:t>precio</w:t>
      </w:r>
      <w:r w:rsidRPr="00BA158A">
        <w:rPr>
          <w:b/>
        </w:rPr>
        <w:t>s</w:t>
      </w:r>
      <w:r w:rsidR="00B85BD1" w:rsidRPr="00BA158A">
        <w:rPr>
          <w:b/>
        </w:rPr>
        <w:t xml:space="preserve"> de gas natural, no es </w:t>
      </w:r>
      <w:r w:rsidRPr="00BA158A">
        <w:rPr>
          <w:b/>
        </w:rPr>
        <w:t xml:space="preserve">posible </w:t>
      </w:r>
      <w:r w:rsidR="00B85BD1" w:rsidRPr="00BA158A">
        <w:rPr>
          <w:b/>
        </w:rPr>
        <w:t xml:space="preserve">que para el 2025 </w:t>
      </w:r>
      <w:r w:rsidRPr="00BA158A">
        <w:rPr>
          <w:b/>
        </w:rPr>
        <w:t xml:space="preserve">la industria presente </w:t>
      </w:r>
      <w:r w:rsidR="00B85BD1" w:rsidRPr="00BA158A">
        <w:rPr>
          <w:b/>
        </w:rPr>
        <w:t xml:space="preserve">un incremento </w:t>
      </w:r>
      <w:r w:rsidRPr="00BA158A">
        <w:rPr>
          <w:b/>
        </w:rPr>
        <w:t xml:space="preserve">del 50% </w:t>
      </w:r>
      <w:r w:rsidR="00B85BD1" w:rsidRPr="00BA158A">
        <w:rPr>
          <w:b/>
        </w:rPr>
        <w:t xml:space="preserve">en </w:t>
      </w:r>
      <w:r w:rsidRPr="00BA158A">
        <w:rPr>
          <w:b/>
        </w:rPr>
        <w:t xml:space="preserve">su </w:t>
      </w:r>
      <w:r w:rsidR="00B85BD1" w:rsidRPr="00BA158A">
        <w:rPr>
          <w:b/>
        </w:rPr>
        <w:t>demanda de gas</w:t>
      </w:r>
      <w:r w:rsidR="00606E86" w:rsidRPr="00BA158A">
        <w:rPr>
          <w:b/>
        </w:rPr>
        <w:t>.</w:t>
      </w:r>
      <w:r w:rsidR="00D13499" w:rsidRPr="00BA158A">
        <w:rPr>
          <w:b/>
        </w:rPr>
        <w:t xml:space="preserve"> </w:t>
      </w:r>
    </w:p>
    <w:p w:rsidR="00D43A15" w:rsidRDefault="00D13499" w:rsidP="00606E86">
      <w:pPr>
        <w:jc w:val="both"/>
      </w:pPr>
      <w:r>
        <w:t xml:space="preserve">La siguiente grafica presenta la evolución de la demanda industrial, </w:t>
      </w:r>
      <w:r w:rsidR="00B85BD1">
        <w:t>considerando</w:t>
      </w:r>
      <w:r w:rsidR="00F61502">
        <w:t xml:space="preserve"> la reducción en el consumo producto del incremento</w:t>
      </w:r>
      <w:r w:rsidR="00B85BD1">
        <w:t xml:space="preserve"> proyectado </w:t>
      </w:r>
      <w:r w:rsidR="00F61502">
        <w:t>en los</w:t>
      </w:r>
      <w:r w:rsidR="00B85BD1">
        <w:t xml:space="preserve"> precios del gas</w:t>
      </w:r>
      <w:r>
        <w:t>.</w:t>
      </w:r>
    </w:p>
    <w:p w:rsidR="00D43A15" w:rsidRDefault="00B707EB" w:rsidP="00606E86">
      <w:pPr>
        <w:jc w:val="center"/>
      </w:pPr>
      <w:r>
        <w:rPr>
          <w:noProof/>
          <w:lang w:eastAsia="es-ES"/>
        </w:rPr>
        <w:drawing>
          <wp:inline distT="0" distB="0" distL="0" distR="0" wp14:anchorId="5AF465C6" wp14:editId="6CF1400F">
            <wp:extent cx="4223559" cy="225742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8749" cy="2270889"/>
                    </a:xfrm>
                    <a:prstGeom prst="rect">
                      <a:avLst/>
                    </a:prstGeom>
                    <a:noFill/>
                  </pic:spPr>
                </pic:pic>
              </a:graphicData>
            </a:graphic>
          </wp:inline>
        </w:drawing>
      </w:r>
    </w:p>
    <w:p w:rsidR="009833AF" w:rsidRDefault="00B85BD1" w:rsidP="005B4E17">
      <w:pPr>
        <w:jc w:val="both"/>
      </w:pPr>
      <w:r>
        <w:t xml:space="preserve">Lo anterior también aplica al sector petrolero, aunado a </w:t>
      </w:r>
      <w:r w:rsidR="009833AF">
        <w:t xml:space="preserve">las </w:t>
      </w:r>
      <w:r w:rsidR="009833AF" w:rsidRPr="00B85BD1">
        <w:t xml:space="preserve">expectativas </w:t>
      </w:r>
      <w:r w:rsidR="00D13499" w:rsidRPr="00B85BD1">
        <w:t>de</w:t>
      </w:r>
      <w:r w:rsidRPr="00B85BD1">
        <w:t>l</w:t>
      </w:r>
      <w:r w:rsidR="00D13499" w:rsidRPr="00B85BD1">
        <w:t xml:space="preserve"> comportamiento del precio del </w:t>
      </w:r>
      <w:r w:rsidR="009833AF" w:rsidRPr="00B85BD1">
        <w:t>crudo.</w:t>
      </w:r>
    </w:p>
    <w:p w:rsidR="000011E9" w:rsidRDefault="00073568" w:rsidP="005B4E17">
      <w:pPr>
        <w:jc w:val="both"/>
      </w:pPr>
      <w:r>
        <w:t xml:space="preserve">La siguiente grafica presenta </w:t>
      </w:r>
      <w:r w:rsidR="00843787" w:rsidRPr="00851D67">
        <w:t>el balance entre oferta baja y demanda alta</w:t>
      </w:r>
      <w:r w:rsidR="00BA158A">
        <w:t xml:space="preserve">, manteniendo constante el consumo </w:t>
      </w:r>
      <w:r w:rsidRPr="00851D67">
        <w:t>industrial</w:t>
      </w:r>
      <w:r>
        <w:t>.</w:t>
      </w:r>
    </w:p>
    <w:tbl>
      <w:tblPr>
        <w:tblStyle w:val="Tablaconcuadrcula"/>
        <w:tblW w:w="8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6812"/>
        <w:gridCol w:w="844"/>
      </w:tblGrid>
      <w:tr w:rsidR="00BA158A" w:rsidTr="00BA158A">
        <w:tc>
          <w:tcPr>
            <w:tcW w:w="846" w:type="dxa"/>
            <w:tcBorders>
              <w:right w:val="single" w:sz="4" w:space="0" w:color="auto"/>
            </w:tcBorders>
          </w:tcPr>
          <w:p w:rsidR="00BA158A" w:rsidRDefault="00BA158A" w:rsidP="005B4E17">
            <w:pPr>
              <w:jc w:val="both"/>
            </w:pPr>
          </w:p>
        </w:tc>
        <w:tc>
          <w:tcPr>
            <w:tcW w:w="6812" w:type="dxa"/>
            <w:tcBorders>
              <w:top w:val="single" w:sz="4" w:space="0" w:color="auto"/>
              <w:left w:val="single" w:sz="4" w:space="0" w:color="auto"/>
              <w:bottom w:val="single" w:sz="4" w:space="0" w:color="auto"/>
              <w:right w:val="single" w:sz="4" w:space="0" w:color="auto"/>
            </w:tcBorders>
          </w:tcPr>
          <w:p w:rsidR="00BA158A" w:rsidRDefault="00BA158A" w:rsidP="00BA158A">
            <w:pPr>
              <w:jc w:val="center"/>
              <w:rPr>
                <w:b/>
                <w:sz w:val="20"/>
              </w:rPr>
            </w:pPr>
            <w:r w:rsidRPr="0082768B">
              <w:rPr>
                <w:b/>
                <w:sz w:val="20"/>
              </w:rPr>
              <w:t xml:space="preserve">Balance Gas Natural Demanda Nacional Esc. Alto </w:t>
            </w:r>
          </w:p>
          <w:p w:rsidR="00BA158A" w:rsidRPr="00851D67" w:rsidRDefault="00BA158A" w:rsidP="00BA158A">
            <w:pPr>
              <w:jc w:val="center"/>
              <w:rPr>
                <w:b/>
              </w:rPr>
            </w:pPr>
            <w:r w:rsidRPr="0082768B">
              <w:rPr>
                <w:b/>
                <w:sz w:val="20"/>
              </w:rPr>
              <w:t>Sin crecimiento Industrial y Oferta Esc. Bajo</w:t>
            </w:r>
          </w:p>
          <w:p w:rsidR="00BA158A" w:rsidRDefault="00BA158A" w:rsidP="00BA158A">
            <w:pPr>
              <w:ind w:left="708"/>
            </w:pPr>
            <w:r>
              <w:rPr>
                <w:noProof/>
                <w:lang w:eastAsia="es-ES"/>
              </w:rPr>
              <w:drawing>
                <wp:inline distT="0" distB="0" distL="0" distR="0" wp14:anchorId="6A3EB2DB" wp14:editId="4DE0B5F6">
                  <wp:extent cx="3676776" cy="20085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508" cy="2018737"/>
                          </a:xfrm>
                          <a:prstGeom prst="rect">
                            <a:avLst/>
                          </a:prstGeom>
                          <a:noFill/>
                        </pic:spPr>
                      </pic:pic>
                    </a:graphicData>
                  </a:graphic>
                </wp:inline>
              </w:drawing>
            </w:r>
            <w:r>
              <w:rPr>
                <w:b/>
                <w:sz w:val="18"/>
                <w:szCs w:val="18"/>
              </w:rPr>
              <w:t xml:space="preserve">              </w:t>
            </w:r>
            <w:r w:rsidRPr="00851D67">
              <w:rPr>
                <w:b/>
                <w:sz w:val="18"/>
                <w:szCs w:val="18"/>
              </w:rPr>
              <w:t>Fuente:</w:t>
            </w:r>
            <w:r w:rsidRPr="00851D67">
              <w:rPr>
                <w:sz w:val="18"/>
                <w:szCs w:val="18"/>
              </w:rPr>
              <w:t xml:space="preserve"> UPME - Elaboración Propia</w:t>
            </w:r>
          </w:p>
          <w:p w:rsidR="00BA158A" w:rsidRDefault="00BA158A" w:rsidP="005B4E17">
            <w:pPr>
              <w:jc w:val="both"/>
            </w:pPr>
          </w:p>
        </w:tc>
        <w:tc>
          <w:tcPr>
            <w:tcW w:w="844" w:type="dxa"/>
            <w:tcBorders>
              <w:left w:val="single" w:sz="4" w:space="0" w:color="auto"/>
            </w:tcBorders>
          </w:tcPr>
          <w:p w:rsidR="00BA158A" w:rsidRDefault="00BA158A" w:rsidP="005B4E17">
            <w:pPr>
              <w:jc w:val="both"/>
            </w:pPr>
          </w:p>
        </w:tc>
      </w:tr>
    </w:tbl>
    <w:p w:rsidR="00BA158A" w:rsidRDefault="00BA158A" w:rsidP="005B4E17">
      <w:pPr>
        <w:jc w:val="both"/>
      </w:pPr>
    </w:p>
    <w:p w:rsidR="00073568" w:rsidRDefault="00AD4BB8" w:rsidP="00F61502">
      <w:pPr>
        <w:jc w:val="both"/>
        <w:rPr>
          <w:b/>
        </w:rPr>
      </w:pPr>
      <w:r>
        <w:rPr>
          <w:b/>
        </w:rPr>
        <w:t>Conclusión 3: Considerando la elasticidad precio de la demanda industrial y que posiblemente no incremente</w:t>
      </w:r>
      <w:r w:rsidR="00F61502">
        <w:rPr>
          <w:b/>
        </w:rPr>
        <w:t xml:space="preserve"> el consumo, s</w:t>
      </w:r>
      <w:r>
        <w:rPr>
          <w:b/>
        </w:rPr>
        <w:t>olamente h</w:t>
      </w:r>
      <w:r w:rsidR="00073568" w:rsidRPr="00A67120">
        <w:rPr>
          <w:b/>
        </w:rPr>
        <w:t xml:space="preserve">asta </w:t>
      </w:r>
      <w:r>
        <w:rPr>
          <w:b/>
        </w:rPr>
        <w:t xml:space="preserve">febrero </w:t>
      </w:r>
      <w:r w:rsidR="00073568" w:rsidRPr="00A67120">
        <w:rPr>
          <w:b/>
        </w:rPr>
        <w:t xml:space="preserve">de </w:t>
      </w:r>
      <w:r>
        <w:rPr>
          <w:b/>
        </w:rPr>
        <w:t xml:space="preserve">2025 </w:t>
      </w:r>
      <w:r w:rsidR="00073568" w:rsidRPr="00A67120">
        <w:rPr>
          <w:b/>
        </w:rPr>
        <w:t xml:space="preserve">el déficit </w:t>
      </w:r>
      <w:r w:rsidRPr="00A67120">
        <w:rPr>
          <w:b/>
        </w:rPr>
        <w:t xml:space="preserve">máximo </w:t>
      </w:r>
      <w:r>
        <w:rPr>
          <w:b/>
        </w:rPr>
        <w:t xml:space="preserve">pasa de </w:t>
      </w:r>
      <w:r w:rsidR="00073568" w:rsidRPr="00A67120">
        <w:rPr>
          <w:b/>
        </w:rPr>
        <w:t>1</w:t>
      </w:r>
      <w:r>
        <w:rPr>
          <w:b/>
        </w:rPr>
        <w:t>00</w:t>
      </w:r>
      <w:r w:rsidR="00073568" w:rsidRPr="00A67120">
        <w:rPr>
          <w:b/>
        </w:rPr>
        <w:t xml:space="preserve"> MPCD.  </w:t>
      </w:r>
    </w:p>
    <w:p w:rsidR="001D1CBB" w:rsidRPr="001D1CBB" w:rsidRDefault="001D1CBB" w:rsidP="00AD4BB8">
      <w:pPr>
        <w:pStyle w:val="Ttulo1"/>
        <w:numPr>
          <w:ilvl w:val="0"/>
          <w:numId w:val="4"/>
        </w:numPr>
      </w:pPr>
      <w:r w:rsidRPr="001D1CBB">
        <w:lastRenderedPageBreak/>
        <w:t>Revisión de alternativas</w:t>
      </w:r>
    </w:p>
    <w:p w:rsidR="0006460E" w:rsidRDefault="0006460E" w:rsidP="0006460E">
      <w:pPr>
        <w:jc w:val="both"/>
      </w:pPr>
      <w:r>
        <w:t xml:space="preserve">En nuestras comunicaciones previas hemos manifestado que la planta de regasificación de buenaventura además de ser remunerada por los que realmente la requieren (contemplando no solamente el uso de la misma sino la necesidad de utilizar su garantía de suministro como en la planta de la costa caribe). </w:t>
      </w:r>
    </w:p>
    <w:p w:rsidR="0006460E" w:rsidRDefault="0006460E" w:rsidP="0006460E">
      <w:pPr>
        <w:jc w:val="both"/>
      </w:pPr>
      <w:r>
        <w:t>L</w:t>
      </w:r>
      <w:r w:rsidRPr="00BB504D">
        <w:t>a dem</w:t>
      </w:r>
      <w:r w:rsidR="00F61502">
        <w:t>anda industrial sería a lo sumo</w:t>
      </w:r>
      <w:r w:rsidRPr="00BB504D">
        <w:t xml:space="preserve"> benefi</w:t>
      </w:r>
      <w:r w:rsidR="00F61502">
        <w:t xml:space="preserve">ciaria del proyecto en el 2025, presentando un </w:t>
      </w:r>
      <w:r>
        <w:t xml:space="preserve">sobre costo ocasionado </w:t>
      </w:r>
      <w:r w:rsidRPr="00BB504D">
        <w:t>por cada año que entre con anticipación la planta</w:t>
      </w:r>
      <w:r>
        <w:t xml:space="preserve">. De acuerdo con la </w:t>
      </w:r>
      <w:r w:rsidRPr="00BB504D">
        <w:t>metodología propuesta por la CREG la demanda industrial estaría pagando un sobrecargo aproximado de 36 millones de dólares, por una infraestructura que no requiere para su abastecimiento</w:t>
      </w:r>
      <w:r w:rsidR="00F61502">
        <w:t xml:space="preserve"> hasta cuatro años después (2025).</w:t>
      </w:r>
      <w:r>
        <w:t xml:space="preserve"> </w:t>
      </w:r>
    </w:p>
    <w:p w:rsidR="0006460E" w:rsidRDefault="0006460E" w:rsidP="0006460E">
      <w:pPr>
        <w:jc w:val="both"/>
      </w:pPr>
      <w:r>
        <w:t xml:space="preserve">A partir de lo anterior, consideramos que antes del 2025 deben ser </w:t>
      </w:r>
      <w:r w:rsidR="00F61502">
        <w:t>tenidas en cuenta</w:t>
      </w:r>
      <w:r>
        <w:t xml:space="preserve"> otras opciones que garanticen la confiabilidad del país y que tengan un menor impacto económico para la demanda. </w:t>
      </w:r>
    </w:p>
    <w:p w:rsidR="001D1CBB" w:rsidRDefault="001D1CBB" w:rsidP="001D1CBB">
      <w:pPr>
        <w:jc w:val="both"/>
      </w:pPr>
      <w:r>
        <w:t xml:space="preserve">A continuación, las propuestas a revisar: </w:t>
      </w:r>
    </w:p>
    <w:p w:rsidR="001D1CBB" w:rsidRDefault="001D1CBB" w:rsidP="001D1CBB">
      <w:pPr>
        <w:pStyle w:val="Prrafodelista"/>
        <w:numPr>
          <w:ilvl w:val="0"/>
          <w:numId w:val="2"/>
        </w:numPr>
        <w:jc w:val="both"/>
      </w:pPr>
      <w:r w:rsidRPr="005D3C89">
        <w:t xml:space="preserve">Utilizar líquidos </w:t>
      </w:r>
      <w:r>
        <w:t>en los periodos de déficit.</w:t>
      </w:r>
    </w:p>
    <w:p w:rsidR="00E77641" w:rsidRDefault="00965543" w:rsidP="009E07D5">
      <w:pPr>
        <w:jc w:val="both"/>
      </w:pPr>
      <w:r>
        <w:t xml:space="preserve">Corresponde a la generación con diésel de una planta de aproximadamente 450MW, durante un periodo de 6 meses. Considerando una diferencia de $150 pesos sobre el precio actual de escasez (363 $/KWh), trabajando al 100% durante dicho periodo, el mayor valor para la demanda sería de 90 millones de dólares. </w:t>
      </w:r>
    </w:p>
    <w:p w:rsidR="001D1CBB" w:rsidRDefault="001D1CBB" w:rsidP="001D1CBB">
      <w:pPr>
        <w:pStyle w:val="Prrafodelista"/>
        <w:numPr>
          <w:ilvl w:val="0"/>
          <w:numId w:val="2"/>
        </w:numPr>
        <w:jc w:val="both"/>
      </w:pPr>
      <w:r w:rsidRPr="005D3C89">
        <w:t>Incentivar la respuesta a la demanda</w:t>
      </w:r>
    </w:p>
    <w:p w:rsidR="00606E86" w:rsidRPr="008D6C20" w:rsidRDefault="000911D9" w:rsidP="000911D9">
      <w:pPr>
        <w:jc w:val="both"/>
      </w:pPr>
      <w:r>
        <w:t>L</w:t>
      </w:r>
      <w:r w:rsidR="00606E86">
        <w:t xml:space="preserve">a máxima Demanda Desconectable Voluntaria ofertada </w:t>
      </w:r>
      <w:r w:rsidR="009E07D5">
        <w:t xml:space="preserve">durante el pasado fenómeno de el Niño </w:t>
      </w:r>
      <w:r w:rsidR="00606E86">
        <w:t xml:space="preserve">fue de 4.1 GWH-día y por Respuesta a la Demanda 1.8 GWh-día. </w:t>
      </w:r>
    </w:p>
    <w:p w:rsidR="001D1CBB" w:rsidRDefault="00005443" w:rsidP="001D1CBB">
      <w:pPr>
        <w:pStyle w:val="Prrafodelista"/>
        <w:numPr>
          <w:ilvl w:val="0"/>
          <w:numId w:val="2"/>
        </w:numPr>
        <w:jc w:val="both"/>
      </w:pPr>
      <w:r>
        <w:t xml:space="preserve">Sustituir un combustible costoso como el líquido, </w:t>
      </w:r>
      <w:r w:rsidR="009E07D5">
        <w:t xml:space="preserve">no </w:t>
      </w:r>
      <w:r>
        <w:t>por GLN, sino con la c</w:t>
      </w:r>
      <w:r w:rsidR="001D1CBB" w:rsidRPr="005D3C89">
        <w:t xml:space="preserve">onstrucción de una planta a carbón o de FRNCE para cubrir las OEFs </w:t>
      </w:r>
    </w:p>
    <w:p w:rsidR="009E07D5" w:rsidRDefault="009E07D5" w:rsidP="001D1CBB">
      <w:pPr>
        <w:jc w:val="both"/>
      </w:pPr>
      <w:r>
        <w:t>L</w:t>
      </w:r>
      <w:r w:rsidR="001D1CBB">
        <w:t xml:space="preserve">os países miembros de OCDE permiten </w:t>
      </w:r>
      <w:r>
        <w:t xml:space="preserve">el </w:t>
      </w:r>
      <w:r w:rsidR="001D1CBB">
        <w:t xml:space="preserve">ingreso </w:t>
      </w:r>
      <w:r>
        <w:t xml:space="preserve">de la generación con carbón </w:t>
      </w:r>
      <w:r w:rsidR="001D1CBB">
        <w:t>cuando es realizado con tecnología Ultracrítica</w:t>
      </w:r>
      <w:r>
        <w:t xml:space="preserve">. En Colombia </w:t>
      </w:r>
      <w:r w:rsidR="001D1CBB">
        <w:t xml:space="preserve">hay agentes </w:t>
      </w:r>
      <w:r>
        <w:t>con proyectos avanzados con esta tecnología</w:t>
      </w:r>
      <w:r w:rsidR="001D1CBB">
        <w:t>.</w:t>
      </w:r>
    </w:p>
    <w:p w:rsidR="001D1CBB" w:rsidRDefault="009E07D5" w:rsidP="001D1CBB">
      <w:pPr>
        <w:jc w:val="both"/>
      </w:pPr>
      <w:r>
        <w:t>Una planta de 450MW a carbón, puede costar del orden de 900 millones de dólares</w:t>
      </w:r>
      <w:r w:rsidR="00CE1012">
        <w:t xml:space="preserve"> y el valor de su oferta en bolsa puede ser similar a las actuales plantas las cuales son las más competitivas.</w:t>
      </w:r>
      <w:r w:rsidR="001D1CBB">
        <w:t xml:space="preserve"> </w:t>
      </w:r>
    </w:p>
    <w:p w:rsidR="00005443" w:rsidRDefault="00005443" w:rsidP="001D1CBB">
      <w:pPr>
        <w:jc w:val="both"/>
      </w:pPr>
      <w:r>
        <w:t xml:space="preserve">Por supuesto, lo anterior, se puede lograr con una combinación entre varias tecnologías, incluyendo todos los proyectos de energía renovable no </w:t>
      </w:r>
      <w:r w:rsidR="00FC3EBB">
        <w:t>convencional</w:t>
      </w:r>
      <w:r>
        <w:t xml:space="preserve"> que ya se encuentran presentados ante la UPME y los proyectos que la misma industria está revisando como generación distribuida.</w:t>
      </w:r>
    </w:p>
    <w:p w:rsidR="001D1CBB" w:rsidRDefault="001D1CBB" w:rsidP="001D1CBB">
      <w:pPr>
        <w:jc w:val="both"/>
        <w:rPr>
          <w:b/>
        </w:rPr>
      </w:pPr>
      <w:r w:rsidRPr="00005443">
        <w:rPr>
          <w:b/>
        </w:rPr>
        <w:t>Dado que para el 202</w:t>
      </w:r>
      <w:r w:rsidR="00965543" w:rsidRPr="00005443">
        <w:rPr>
          <w:b/>
        </w:rPr>
        <w:t>3</w:t>
      </w:r>
      <w:r w:rsidRPr="00005443">
        <w:rPr>
          <w:b/>
        </w:rPr>
        <w:t xml:space="preserve"> no han sido adjudicados los compromisos del cargo por confiabilidad administrados, es posible </w:t>
      </w:r>
      <w:r w:rsidR="00965543" w:rsidRPr="00005443">
        <w:rPr>
          <w:b/>
        </w:rPr>
        <w:t>asignar los 10</w:t>
      </w:r>
      <w:r w:rsidRPr="00005443">
        <w:rPr>
          <w:b/>
        </w:rPr>
        <w:t>GWh-dia.</w:t>
      </w:r>
    </w:p>
    <w:p w:rsidR="00CE1012" w:rsidRDefault="00CE1012" w:rsidP="001D1CBB">
      <w:pPr>
        <w:jc w:val="both"/>
        <w:rPr>
          <w:b/>
          <w:sz w:val="36"/>
        </w:rPr>
      </w:pPr>
    </w:p>
    <w:p w:rsidR="0082768B" w:rsidRPr="00FD7486" w:rsidRDefault="00FD7486" w:rsidP="001D1CBB">
      <w:pPr>
        <w:jc w:val="both"/>
        <w:rPr>
          <w:b/>
          <w:sz w:val="36"/>
        </w:rPr>
      </w:pPr>
      <w:r w:rsidRPr="00FD7486">
        <w:rPr>
          <w:b/>
          <w:sz w:val="36"/>
        </w:rPr>
        <w:lastRenderedPageBreak/>
        <w:t xml:space="preserve">FINALMENTE; LA RESPUESTA </w:t>
      </w:r>
      <w:r w:rsidR="00CE1012">
        <w:rPr>
          <w:b/>
          <w:sz w:val="36"/>
        </w:rPr>
        <w:t xml:space="preserve">A LA PREGUNTA DEL DOCUMENTO </w:t>
      </w:r>
      <w:r w:rsidRPr="00FD7486">
        <w:rPr>
          <w:b/>
          <w:sz w:val="36"/>
        </w:rPr>
        <w:t xml:space="preserve">ES </w:t>
      </w:r>
      <w:r w:rsidR="00CE1012">
        <w:rPr>
          <w:b/>
          <w:sz w:val="36"/>
        </w:rPr>
        <w:t xml:space="preserve">QUE </w:t>
      </w:r>
      <w:r>
        <w:rPr>
          <w:b/>
          <w:sz w:val="36"/>
        </w:rPr>
        <w:t xml:space="preserve">LA DEMANDA INDUSTRIAL </w:t>
      </w:r>
      <w:r w:rsidR="00CE1012">
        <w:rPr>
          <w:b/>
          <w:sz w:val="36"/>
        </w:rPr>
        <w:t xml:space="preserve">DE GAS NATURAL </w:t>
      </w:r>
      <w:r>
        <w:rPr>
          <w:b/>
          <w:sz w:val="36"/>
        </w:rPr>
        <w:t xml:space="preserve">REQUIERE </w:t>
      </w:r>
      <w:r w:rsidR="00CE1012">
        <w:rPr>
          <w:b/>
          <w:sz w:val="36"/>
        </w:rPr>
        <w:t xml:space="preserve">UNA ALTERNATIVA DE ABASTECIMIENTO A PARTIR DEL </w:t>
      </w:r>
      <w:r>
        <w:rPr>
          <w:b/>
          <w:sz w:val="36"/>
        </w:rPr>
        <w:t>AÑO 2025</w:t>
      </w:r>
      <w:r w:rsidR="00E9124D">
        <w:rPr>
          <w:b/>
          <w:sz w:val="36"/>
        </w:rPr>
        <w:t xml:space="preserve"> Y POR ENDE, COMPROMETERSE EN COSTOS FIJOS DESDE EL AÑO 2022 NO ES LOGICO FINANCIERA</w:t>
      </w:r>
      <w:r w:rsidR="0074719F">
        <w:rPr>
          <w:b/>
          <w:sz w:val="36"/>
        </w:rPr>
        <w:t>-</w:t>
      </w:r>
      <w:r w:rsidR="00E9124D">
        <w:rPr>
          <w:b/>
          <w:sz w:val="36"/>
        </w:rPr>
        <w:t>MENTE.</w:t>
      </w:r>
    </w:p>
    <w:p w:rsidR="00005443" w:rsidRDefault="00005443" w:rsidP="00CF1AEB"/>
    <w:sectPr w:rsidR="00005443">
      <w:headerReference w:type="even" r:id="rId16"/>
      <w:headerReference w:type="default" r:id="rId17"/>
      <w:footerReference w:type="default" r:id="rId18"/>
      <w:head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C1" w:rsidRDefault="00B93BC1" w:rsidP="00CE504F">
      <w:pPr>
        <w:spacing w:after="0" w:line="240" w:lineRule="auto"/>
      </w:pPr>
      <w:r>
        <w:separator/>
      </w:r>
    </w:p>
  </w:endnote>
  <w:endnote w:type="continuationSeparator" w:id="0">
    <w:p w:rsidR="00B93BC1" w:rsidRDefault="00B93BC1" w:rsidP="00C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05981"/>
      <w:docPartObj>
        <w:docPartGallery w:val="Page Numbers (Bottom of Page)"/>
        <w:docPartUnique/>
      </w:docPartObj>
    </w:sdtPr>
    <w:sdtEndPr/>
    <w:sdtContent>
      <w:sdt>
        <w:sdtPr>
          <w:id w:val="1307130363"/>
          <w:docPartObj>
            <w:docPartGallery w:val="Page Numbers (Top of Page)"/>
            <w:docPartUnique/>
          </w:docPartObj>
        </w:sdtPr>
        <w:sdtEndPr/>
        <w:sdtContent>
          <w:p w:rsidR="007E4A47" w:rsidRDefault="007E4A47">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E017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E0170">
              <w:rPr>
                <w:b/>
                <w:bCs/>
                <w:noProof/>
              </w:rPr>
              <w:t>9</w:t>
            </w:r>
            <w:r>
              <w:rPr>
                <w:b/>
                <w:bCs/>
                <w:sz w:val="24"/>
                <w:szCs w:val="24"/>
              </w:rPr>
              <w:fldChar w:fldCharType="end"/>
            </w:r>
          </w:p>
        </w:sdtContent>
      </w:sdt>
    </w:sdtContent>
  </w:sdt>
  <w:p w:rsidR="007E4A47" w:rsidRDefault="007E4A4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C4" w:rsidRPr="00FC384E" w:rsidRDefault="00FC384E" w:rsidP="00FC384E">
    <w:pPr>
      <w:pStyle w:val="Piedepgina"/>
      <w:ind w:left="284" w:hanging="1701"/>
    </w:pPr>
    <w:r>
      <w:rPr>
        <w:noProof/>
        <w:sz w:val="17"/>
        <w:szCs w:val="17"/>
        <w:lang w:eastAsia="es-ES"/>
      </w:rPr>
      <w:drawing>
        <wp:inline distT="0" distB="0" distL="0" distR="0" wp14:anchorId="39A849F8" wp14:editId="630C98E3">
          <wp:extent cx="7748289" cy="428625"/>
          <wp:effectExtent l="0" t="0" r="5080" b="0"/>
          <wp:docPr id="24" name="Imagen 24" descr="20160627-BaseFormat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0627-BaseFormatoCarta"/>
                  <pic:cNvPicPr>
                    <a:picLocks noChangeAspect="1" noChangeArrowheads="1"/>
                  </pic:cNvPicPr>
                </pic:nvPicPr>
                <pic:blipFill>
                  <a:blip r:embed="rId1">
                    <a:extLst>
                      <a:ext uri="{28A0092B-C50C-407E-A947-70E740481C1C}">
                        <a14:useLocalDpi xmlns:a14="http://schemas.microsoft.com/office/drawing/2010/main" val="0"/>
                      </a:ext>
                    </a:extLst>
                  </a:blip>
                  <a:srcRect t="24796" b="21103"/>
                  <a:stretch>
                    <a:fillRect/>
                  </a:stretch>
                </pic:blipFill>
                <pic:spPr bwMode="auto">
                  <a:xfrm>
                    <a:off x="0" y="0"/>
                    <a:ext cx="7834119" cy="4333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C1" w:rsidRDefault="00B93BC1" w:rsidP="00CE504F">
      <w:pPr>
        <w:spacing w:after="0" w:line="240" w:lineRule="auto"/>
      </w:pPr>
      <w:r>
        <w:separator/>
      </w:r>
    </w:p>
  </w:footnote>
  <w:footnote w:type="continuationSeparator" w:id="0">
    <w:p w:rsidR="00B93BC1" w:rsidRDefault="00B93BC1" w:rsidP="00CE504F">
      <w:pPr>
        <w:spacing w:after="0" w:line="240" w:lineRule="auto"/>
      </w:pPr>
      <w:r>
        <w:continuationSeparator/>
      </w:r>
    </w:p>
  </w:footnote>
  <w:footnote w:id="1">
    <w:p w:rsidR="00DB5D1E" w:rsidRDefault="00DB5D1E" w:rsidP="00DB5D1E">
      <w:pPr>
        <w:pStyle w:val="Textonotapie"/>
      </w:pPr>
      <w:r>
        <w:rPr>
          <w:rStyle w:val="Refdenotaalpie"/>
        </w:rPr>
        <w:footnoteRef/>
      </w:r>
      <w:r>
        <w:t xml:space="preserve"> Plan Transitorio de Abastecimiento de Gas Natural 2016 Versión Final. Elasticidad Precio Demanda –EPD - para la demanda no regulada es equivalente al 0.33%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E9" w:rsidRDefault="00AE16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ook w:val="04A0" w:firstRow="1" w:lastRow="0" w:firstColumn="1" w:lastColumn="0" w:noHBand="0" w:noVBand="1"/>
    </w:tblPr>
    <w:tblGrid>
      <w:gridCol w:w="4923"/>
      <w:gridCol w:w="5284"/>
    </w:tblGrid>
    <w:tr w:rsidR="00CE504F" w:rsidTr="006E5412">
      <w:tc>
        <w:tcPr>
          <w:tcW w:w="4923" w:type="dxa"/>
          <w:shd w:val="clear" w:color="auto" w:fill="auto"/>
          <w:vAlign w:val="center"/>
        </w:tcPr>
        <w:p w:rsidR="00CE504F" w:rsidRPr="0010211E" w:rsidRDefault="00CE504F" w:rsidP="00CE504F">
          <w:pPr>
            <w:pStyle w:val="Encabezado"/>
            <w:tabs>
              <w:tab w:val="right" w:pos="4106"/>
            </w:tabs>
            <w:ind w:left="-1276"/>
            <w:jc w:val="center"/>
          </w:pPr>
          <w:r w:rsidRPr="0010211E">
            <w:rPr>
              <w:noProof/>
              <w:lang w:eastAsia="es-ES"/>
            </w:rPr>
            <w:drawing>
              <wp:inline distT="0" distB="0" distL="0" distR="0" wp14:anchorId="4A3FA69C" wp14:editId="06E785AB">
                <wp:extent cx="1371600" cy="552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tc>
      <w:tc>
        <w:tcPr>
          <w:tcW w:w="5284" w:type="dxa"/>
          <w:shd w:val="clear" w:color="auto" w:fill="auto"/>
          <w:vAlign w:val="center"/>
        </w:tcPr>
        <w:p w:rsidR="00CE504F" w:rsidRDefault="00CE504F" w:rsidP="00CE504F">
          <w:pPr>
            <w:pStyle w:val="Encabezado"/>
            <w:ind w:right="885"/>
            <w:jc w:val="right"/>
          </w:pPr>
          <w:r w:rsidRPr="0010211E">
            <w:rPr>
              <w:noProof/>
              <w:lang w:eastAsia="es-ES"/>
            </w:rPr>
            <w:drawing>
              <wp:inline distT="0" distB="0" distL="0" distR="0" wp14:anchorId="7AFFA02C" wp14:editId="3BB0BAE2">
                <wp:extent cx="1738205" cy="594071"/>
                <wp:effectExtent l="0" t="0" r="0" b="0"/>
                <wp:docPr id="9" name="Imagen 9" descr="201407-Logo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7-LogoCama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240" cy="600577"/>
                        </a:xfrm>
                        <a:prstGeom prst="rect">
                          <a:avLst/>
                        </a:prstGeom>
                        <a:noFill/>
                        <a:ln>
                          <a:noFill/>
                        </a:ln>
                      </pic:spPr>
                    </pic:pic>
                  </a:graphicData>
                </a:graphic>
              </wp:inline>
            </w:drawing>
          </w:r>
        </w:p>
      </w:tc>
    </w:tr>
  </w:tbl>
  <w:p w:rsidR="00CE504F" w:rsidRDefault="00CE504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6E9" w:rsidRDefault="00AE16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049"/>
    <w:multiLevelType w:val="multilevel"/>
    <w:tmpl w:val="0DDE51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8D57D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B608B"/>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DEF2B51"/>
    <w:multiLevelType w:val="multilevel"/>
    <w:tmpl w:val="5E2C1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D067A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0C0E9F"/>
    <w:multiLevelType w:val="hybridMultilevel"/>
    <w:tmpl w:val="41ACC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92A91"/>
    <w:multiLevelType w:val="hybridMultilevel"/>
    <w:tmpl w:val="7C14949E"/>
    <w:lvl w:ilvl="0" w:tplc="596602B6">
      <w:start w:val="1"/>
      <w:numFmt w:val="bullet"/>
      <w:lvlText w:val="-"/>
      <w:lvlJc w:val="left"/>
      <w:pPr>
        <w:ind w:left="405" w:hanging="360"/>
      </w:pPr>
      <w:rPr>
        <w:rFonts w:ascii="Calibri" w:eastAsiaTheme="minorHAnsi" w:hAnsi="Calibri" w:cs="Calibr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7" w15:restartNumberingAfterBreak="0">
    <w:nsid w:val="588B139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B01D68"/>
    <w:multiLevelType w:val="multilevel"/>
    <w:tmpl w:val="08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9" w15:restartNumberingAfterBreak="0">
    <w:nsid w:val="5FC00274"/>
    <w:multiLevelType w:val="multilevel"/>
    <w:tmpl w:val="08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0" w15:restartNumberingAfterBreak="0">
    <w:nsid w:val="6E464704"/>
    <w:multiLevelType w:val="hybridMultilevel"/>
    <w:tmpl w:val="0434C0C0"/>
    <w:lvl w:ilvl="0" w:tplc="154C576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3F0E1B"/>
    <w:multiLevelType w:val="multilevel"/>
    <w:tmpl w:val="24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num w:numId="1">
    <w:abstractNumId w:val="5"/>
  </w:num>
  <w:num w:numId="2">
    <w:abstractNumId w:val="10"/>
  </w:num>
  <w:num w:numId="3">
    <w:abstractNumId w:val="1"/>
  </w:num>
  <w:num w:numId="4">
    <w:abstractNumId w:val="3"/>
  </w:num>
  <w:num w:numId="5">
    <w:abstractNumId w:val="4"/>
  </w:num>
  <w:num w:numId="6">
    <w:abstractNumId w:val="8"/>
  </w:num>
  <w:num w:numId="7">
    <w:abstractNumId w:val="9"/>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B4"/>
    <w:rsid w:val="000011E9"/>
    <w:rsid w:val="00005443"/>
    <w:rsid w:val="0001703A"/>
    <w:rsid w:val="000310F9"/>
    <w:rsid w:val="00037A64"/>
    <w:rsid w:val="0006460E"/>
    <w:rsid w:val="00073568"/>
    <w:rsid w:val="00075EE3"/>
    <w:rsid w:val="000911D9"/>
    <w:rsid w:val="000A1FAF"/>
    <w:rsid w:val="000C1CFF"/>
    <w:rsid w:val="000F5716"/>
    <w:rsid w:val="00113190"/>
    <w:rsid w:val="00174DBF"/>
    <w:rsid w:val="001D1CBB"/>
    <w:rsid w:val="001E56CA"/>
    <w:rsid w:val="002528AB"/>
    <w:rsid w:val="002612F7"/>
    <w:rsid w:val="002804AC"/>
    <w:rsid w:val="002822F3"/>
    <w:rsid w:val="002C29D4"/>
    <w:rsid w:val="002F52EC"/>
    <w:rsid w:val="002F62A9"/>
    <w:rsid w:val="003310E2"/>
    <w:rsid w:val="00374114"/>
    <w:rsid w:val="003E346D"/>
    <w:rsid w:val="0044706B"/>
    <w:rsid w:val="004739C7"/>
    <w:rsid w:val="004805B2"/>
    <w:rsid w:val="004A18FC"/>
    <w:rsid w:val="004B2A2B"/>
    <w:rsid w:val="004F6712"/>
    <w:rsid w:val="004F744F"/>
    <w:rsid w:val="00514960"/>
    <w:rsid w:val="00516D7E"/>
    <w:rsid w:val="00526C50"/>
    <w:rsid w:val="00537D71"/>
    <w:rsid w:val="005B4E17"/>
    <w:rsid w:val="005C79B0"/>
    <w:rsid w:val="005D3C89"/>
    <w:rsid w:val="005F065A"/>
    <w:rsid w:val="00606E86"/>
    <w:rsid w:val="00624C4F"/>
    <w:rsid w:val="0064769B"/>
    <w:rsid w:val="00652286"/>
    <w:rsid w:val="006737D8"/>
    <w:rsid w:val="00687BFE"/>
    <w:rsid w:val="00715C2D"/>
    <w:rsid w:val="00736B10"/>
    <w:rsid w:val="0074719F"/>
    <w:rsid w:val="007C7470"/>
    <w:rsid w:val="007C7D46"/>
    <w:rsid w:val="007E4A47"/>
    <w:rsid w:val="007E4E1F"/>
    <w:rsid w:val="00801584"/>
    <w:rsid w:val="0082768B"/>
    <w:rsid w:val="00843787"/>
    <w:rsid w:val="00851D67"/>
    <w:rsid w:val="008610DD"/>
    <w:rsid w:val="00955A86"/>
    <w:rsid w:val="00965543"/>
    <w:rsid w:val="009833AF"/>
    <w:rsid w:val="009834FF"/>
    <w:rsid w:val="009973C5"/>
    <w:rsid w:val="009B2DBB"/>
    <w:rsid w:val="009E07D5"/>
    <w:rsid w:val="009E0806"/>
    <w:rsid w:val="00A67120"/>
    <w:rsid w:val="00AD2AB3"/>
    <w:rsid w:val="00AD4BB8"/>
    <w:rsid w:val="00AE16E9"/>
    <w:rsid w:val="00B0110E"/>
    <w:rsid w:val="00B05D4D"/>
    <w:rsid w:val="00B06725"/>
    <w:rsid w:val="00B21DC4"/>
    <w:rsid w:val="00B24851"/>
    <w:rsid w:val="00B47006"/>
    <w:rsid w:val="00B47DF1"/>
    <w:rsid w:val="00B47EA2"/>
    <w:rsid w:val="00B50224"/>
    <w:rsid w:val="00B707EB"/>
    <w:rsid w:val="00B85BD1"/>
    <w:rsid w:val="00B90CA0"/>
    <w:rsid w:val="00B93BC1"/>
    <w:rsid w:val="00BA158A"/>
    <w:rsid w:val="00BB504D"/>
    <w:rsid w:val="00BD3ADE"/>
    <w:rsid w:val="00BE6EB5"/>
    <w:rsid w:val="00C15D14"/>
    <w:rsid w:val="00C16144"/>
    <w:rsid w:val="00CC425F"/>
    <w:rsid w:val="00CE0170"/>
    <w:rsid w:val="00CE1012"/>
    <w:rsid w:val="00CE24FD"/>
    <w:rsid w:val="00CE504F"/>
    <w:rsid w:val="00CF0831"/>
    <w:rsid w:val="00CF1AEB"/>
    <w:rsid w:val="00CF2382"/>
    <w:rsid w:val="00D04728"/>
    <w:rsid w:val="00D0778D"/>
    <w:rsid w:val="00D10D39"/>
    <w:rsid w:val="00D11A23"/>
    <w:rsid w:val="00D13499"/>
    <w:rsid w:val="00D31243"/>
    <w:rsid w:val="00D43A15"/>
    <w:rsid w:val="00D705EE"/>
    <w:rsid w:val="00DB5D1E"/>
    <w:rsid w:val="00DC050A"/>
    <w:rsid w:val="00DF0910"/>
    <w:rsid w:val="00E358DD"/>
    <w:rsid w:val="00E77641"/>
    <w:rsid w:val="00E9124D"/>
    <w:rsid w:val="00E939FA"/>
    <w:rsid w:val="00ED0663"/>
    <w:rsid w:val="00ED7147"/>
    <w:rsid w:val="00F61502"/>
    <w:rsid w:val="00F633BA"/>
    <w:rsid w:val="00FC384E"/>
    <w:rsid w:val="00FC39A8"/>
    <w:rsid w:val="00FC3EBB"/>
    <w:rsid w:val="00FC42B4"/>
    <w:rsid w:val="00FD7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9C67"/>
  <w15:chartTrackingRefBased/>
  <w15:docId w15:val="{1CB2E00D-01ED-4F28-8874-5EB36264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4E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C4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833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2B4"/>
    <w:pPr>
      <w:ind w:left="720"/>
      <w:contextualSpacing/>
    </w:pPr>
  </w:style>
  <w:style w:type="character" w:customStyle="1" w:styleId="Ttulo2Car">
    <w:name w:val="Título 2 Car"/>
    <w:basedOn w:val="Fuentedeprrafopredeter"/>
    <w:link w:val="Ttulo2"/>
    <w:uiPriority w:val="9"/>
    <w:rsid w:val="00CC425F"/>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B50224"/>
    <w:rPr>
      <w:sz w:val="16"/>
      <w:szCs w:val="16"/>
    </w:rPr>
  </w:style>
  <w:style w:type="paragraph" w:styleId="Textocomentario">
    <w:name w:val="annotation text"/>
    <w:basedOn w:val="Normal"/>
    <w:link w:val="TextocomentarioCar"/>
    <w:uiPriority w:val="99"/>
    <w:semiHidden/>
    <w:unhideWhenUsed/>
    <w:rsid w:val="00B50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0224"/>
    <w:rPr>
      <w:sz w:val="20"/>
      <w:szCs w:val="20"/>
    </w:rPr>
  </w:style>
  <w:style w:type="paragraph" w:styleId="Asuntodelcomentario">
    <w:name w:val="annotation subject"/>
    <w:basedOn w:val="Textocomentario"/>
    <w:next w:val="Textocomentario"/>
    <w:link w:val="AsuntodelcomentarioCar"/>
    <w:uiPriority w:val="99"/>
    <w:semiHidden/>
    <w:unhideWhenUsed/>
    <w:rsid w:val="00B50224"/>
    <w:rPr>
      <w:b/>
      <w:bCs/>
    </w:rPr>
  </w:style>
  <w:style w:type="character" w:customStyle="1" w:styleId="AsuntodelcomentarioCar">
    <w:name w:val="Asunto del comentario Car"/>
    <w:basedOn w:val="TextocomentarioCar"/>
    <w:link w:val="Asuntodelcomentario"/>
    <w:uiPriority w:val="99"/>
    <w:semiHidden/>
    <w:rsid w:val="00B50224"/>
    <w:rPr>
      <w:b/>
      <w:bCs/>
      <w:sz w:val="20"/>
      <w:szCs w:val="20"/>
    </w:rPr>
  </w:style>
  <w:style w:type="paragraph" w:styleId="Revisin">
    <w:name w:val="Revision"/>
    <w:hidden/>
    <w:uiPriority w:val="99"/>
    <w:semiHidden/>
    <w:rsid w:val="00B50224"/>
    <w:pPr>
      <w:spacing w:after="0" w:line="240" w:lineRule="auto"/>
    </w:pPr>
  </w:style>
  <w:style w:type="paragraph" w:styleId="Textodeglobo">
    <w:name w:val="Balloon Text"/>
    <w:basedOn w:val="Normal"/>
    <w:link w:val="TextodegloboCar"/>
    <w:uiPriority w:val="99"/>
    <w:semiHidden/>
    <w:unhideWhenUsed/>
    <w:rsid w:val="00B50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224"/>
    <w:rPr>
      <w:rFonts w:ascii="Segoe UI" w:hAnsi="Segoe UI" w:cs="Segoe UI"/>
      <w:sz w:val="18"/>
      <w:szCs w:val="18"/>
    </w:rPr>
  </w:style>
  <w:style w:type="paragraph" w:styleId="Ttulo">
    <w:name w:val="Title"/>
    <w:basedOn w:val="Normal"/>
    <w:next w:val="Normal"/>
    <w:link w:val="TtuloCar"/>
    <w:uiPriority w:val="10"/>
    <w:qFormat/>
    <w:rsid w:val="00473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39C7"/>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5B4E1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9833AF"/>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nhideWhenUsed/>
    <w:rsid w:val="00CE5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04F"/>
  </w:style>
  <w:style w:type="paragraph" w:styleId="Piedepgina">
    <w:name w:val="footer"/>
    <w:basedOn w:val="Normal"/>
    <w:link w:val="PiedepginaCar"/>
    <w:uiPriority w:val="99"/>
    <w:unhideWhenUsed/>
    <w:rsid w:val="00CE5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04F"/>
  </w:style>
  <w:style w:type="paragraph" w:styleId="Textonotapie">
    <w:name w:val="footnote text"/>
    <w:basedOn w:val="Normal"/>
    <w:link w:val="TextonotapieCar"/>
    <w:uiPriority w:val="99"/>
    <w:semiHidden/>
    <w:unhideWhenUsed/>
    <w:rsid w:val="00B248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851"/>
    <w:rPr>
      <w:sz w:val="20"/>
      <w:szCs w:val="20"/>
    </w:rPr>
  </w:style>
  <w:style w:type="character" w:styleId="Refdenotaalpie">
    <w:name w:val="footnote reference"/>
    <w:basedOn w:val="Fuentedeprrafopredeter"/>
    <w:uiPriority w:val="99"/>
    <w:semiHidden/>
    <w:unhideWhenUsed/>
    <w:rsid w:val="00B24851"/>
    <w:rPr>
      <w:vertAlign w:val="superscript"/>
    </w:rPr>
  </w:style>
  <w:style w:type="table" w:styleId="Tablaconcuadrcula">
    <w:name w:val="Table Grid"/>
    <w:basedOn w:val="Tablanormal"/>
    <w:uiPriority w:val="39"/>
    <w:rsid w:val="00E7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9278">
      <w:bodyDiv w:val="1"/>
      <w:marLeft w:val="0"/>
      <w:marRight w:val="0"/>
      <w:marTop w:val="0"/>
      <w:marBottom w:val="0"/>
      <w:divBdr>
        <w:top w:val="none" w:sz="0" w:space="0" w:color="auto"/>
        <w:left w:val="none" w:sz="0" w:space="0" w:color="auto"/>
        <w:bottom w:val="none" w:sz="0" w:space="0" w:color="auto"/>
        <w:right w:val="none" w:sz="0" w:space="0" w:color="auto"/>
      </w:divBdr>
    </w:div>
    <w:div w:id="404844284">
      <w:bodyDiv w:val="1"/>
      <w:marLeft w:val="0"/>
      <w:marRight w:val="0"/>
      <w:marTop w:val="0"/>
      <w:marBottom w:val="0"/>
      <w:divBdr>
        <w:top w:val="none" w:sz="0" w:space="0" w:color="auto"/>
        <w:left w:val="none" w:sz="0" w:space="0" w:color="auto"/>
        <w:bottom w:val="none" w:sz="0" w:space="0" w:color="auto"/>
        <w:right w:val="none" w:sz="0" w:space="0" w:color="auto"/>
      </w:divBdr>
    </w:div>
    <w:div w:id="421724352">
      <w:bodyDiv w:val="1"/>
      <w:marLeft w:val="0"/>
      <w:marRight w:val="0"/>
      <w:marTop w:val="0"/>
      <w:marBottom w:val="0"/>
      <w:divBdr>
        <w:top w:val="none" w:sz="0" w:space="0" w:color="auto"/>
        <w:left w:val="none" w:sz="0" w:space="0" w:color="auto"/>
        <w:bottom w:val="none" w:sz="0" w:space="0" w:color="auto"/>
        <w:right w:val="none" w:sz="0" w:space="0" w:color="auto"/>
      </w:divBdr>
    </w:div>
    <w:div w:id="756561437">
      <w:bodyDiv w:val="1"/>
      <w:marLeft w:val="0"/>
      <w:marRight w:val="0"/>
      <w:marTop w:val="0"/>
      <w:marBottom w:val="0"/>
      <w:divBdr>
        <w:top w:val="none" w:sz="0" w:space="0" w:color="auto"/>
        <w:left w:val="none" w:sz="0" w:space="0" w:color="auto"/>
        <w:bottom w:val="none" w:sz="0" w:space="0" w:color="auto"/>
        <w:right w:val="none" w:sz="0" w:space="0" w:color="auto"/>
      </w:divBdr>
    </w:div>
    <w:div w:id="917977717">
      <w:bodyDiv w:val="1"/>
      <w:marLeft w:val="0"/>
      <w:marRight w:val="0"/>
      <w:marTop w:val="0"/>
      <w:marBottom w:val="0"/>
      <w:divBdr>
        <w:top w:val="none" w:sz="0" w:space="0" w:color="auto"/>
        <w:left w:val="none" w:sz="0" w:space="0" w:color="auto"/>
        <w:bottom w:val="none" w:sz="0" w:space="0" w:color="auto"/>
        <w:right w:val="none" w:sz="0" w:space="0" w:color="auto"/>
      </w:divBdr>
    </w:div>
    <w:div w:id="1067798968">
      <w:bodyDiv w:val="1"/>
      <w:marLeft w:val="0"/>
      <w:marRight w:val="0"/>
      <w:marTop w:val="0"/>
      <w:marBottom w:val="0"/>
      <w:divBdr>
        <w:top w:val="none" w:sz="0" w:space="0" w:color="auto"/>
        <w:left w:val="none" w:sz="0" w:space="0" w:color="auto"/>
        <w:bottom w:val="none" w:sz="0" w:space="0" w:color="auto"/>
        <w:right w:val="none" w:sz="0" w:space="0" w:color="auto"/>
      </w:divBdr>
    </w:div>
    <w:div w:id="1680156123">
      <w:bodyDiv w:val="1"/>
      <w:marLeft w:val="0"/>
      <w:marRight w:val="0"/>
      <w:marTop w:val="0"/>
      <w:marBottom w:val="0"/>
      <w:divBdr>
        <w:top w:val="none" w:sz="0" w:space="0" w:color="auto"/>
        <w:left w:val="none" w:sz="0" w:space="0" w:color="auto"/>
        <w:bottom w:val="none" w:sz="0" w:space="0" w:color="auto"/>
        <w:right w:val="none" w:sz="0" w:space="0" w:color="auto"/>
      </w:divBdr>
    </w:div>
    <w:div w:id="1806585830">
      <w:bodyDiv w:val="1"/>
      <w:marLeft w:val="0"/>
      <w:marRight w:val="0"/>
      <w:marTop w:val="0"/>
      <w:marBottom w:val="0"/>
      <w:divBdr>
        <w:top w:val="none" w:sz="0" w:space="0" w:color="auto"/>
        <w:left w:val="none" w:sz="0" w:space="0" w:color="auto"/>
        <w:bottom w:val="none" w:sz="0" w:space="0" w:color="auto"/>
        <w:right w:val="none" w:sz="0" w:space="0" w:color="auto"/>
      </w:divBdr>
    </w:div>
    <w:div w:id="20097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B4B0-6204-4A9C-B035-468D1B01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Mateo Porras Ocampo</dc:creator>
  <cp:keywords/>
  <dc:description/>
  <cp:lastModifiedBy>Jose Mateo Porras Ocampo</cp:lastModifiedBy>
  <cp:revision>7</cp:revision>
  <cp:lastPrinted>2018-02-14T15:51:00Z</cp:lastPrinted>
  <dcterms:created xsi:type="dcterms:W3CDTF">2017-07-13T20:58:00Z</dcterms:created>
  <dcterms:modified xsi:type="dcterms:W3CDTF">2018-02-14T19:47:00Z</dcterms:modified>
</cp:coreProperties>
</file>